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bookmarkStart w:id="0" w:name="_GoBack"/>
      <w:bookmarkEnd w:id="0"/>
      <w:r>
        <w:t xml:space="preserve">Tjekliste til civile retssager i by- og landsret</w:t>
      </w:r>
    </w:p>
    <w:p>
      <w:pPr>
        <w:pStyle w:val="Heading1"/>
      </w:pPr>
      <w:r>
        <w:t xml:space="preserve">Plastikchartek</w:t>
      </w:r>
    </w:p>
    <w:p>
      <w:pPr>
        <w:pStyle w:val="Normal"/>
      </w:pPr>
      <w:r>
        <w:t xml:space="preserve">Forrest i sagsmappen skal der befinde sig et plastikchartek indeholdende:</w:t>
      </w:r>
    </w:p>
    <w:p>
      <w:pPr>
        <w:pStyle w:val="ListParagraph"/>
        <w:numPr>
          <w:ilvl w:val="0"/>
          <w:numId w:val="2"/>
        </w:numPr>
      </w:pPr>
      <w:r>
        <w:t xml:space="preserve">Manuskript til hovedforhandlingen</w:t>
      </w:r>
    </w:p>
    <w:p>
      <w:pPr>
        <w:pStyle w:val="ListParagraph"/>
        <w:numPr>
          <w:ilvl w:val="0"/>
          <w:numId w:val="2"/>
        </w:numPr>
      </w:pPr>
      <w:r>
        <w:t xml:space="preserve">Rettens berammelsesskrivelse</w:t>
      </w:r>
    </w:p>
    <w:p>
      <w:pPr>
        <w:pStyle w:val="ListParagraph"/>
        <w:numPr>
          <w:ilvl w:val="0"/>
          <w:numId w:val="2"/>
        </w:numPr>
      </w:pPr>
      <w:r>
        <w:t xml:space="preserve">Tidsplan</w:t>
      </w:r>
    </w:p>
    <w:p>
      <w:pPr>
        <w:pStyle w:val="ListParagraph"/>
        <w:numPr>
          <w:ilvl w:val="0"/>
          <w:numId w:val="2"/>
        </w:numPr>
      </w:pPr>
      <w:r>
        <w:t xml:space="preserve">Print fra minretssag.dk over retsmødet med lokale og tid</w:t>
      </w:r>
    </w:p>
    <w:p>
      <w:pPr>
        <w:pStyle w:val="ListParagraph"/>
        <w:numPr>
          <w:ilvl w:val="0"/>
          <w:numId w:val="2"/>
        </w:numPr>
      </w:pPr>
      <w:r>
        <w:t xml:space="preserve">Bekræftelse fra part og alle vidner på at de møder til hovedforhandlingen</w:t>
      </w:r>
    </w:p>
    <w:p>
      <w:pPr>
        <w:pStyle w:val="ListParagraph"/>
        <w:numPr>
          <w:ilvl w:val="0"/>
          <w:numId w:val="2"/>
        </w:numPr>
      </w:pPr>
      <w:r>
        <w:t xml:space="preserve">Reservationsbekræftelse fra hotel, hvis du overnatter</w:t>
      </w:r>
    </w:p>
    <w:p>
      <w:pPr>
        <w:pStyle w:val="ListParagraph"/>
        <w:numPr>
          <w:ilvl w:val="0"/>
          <w:numId w:val="2"/>
        </w:numPr>
      </w:pPr>
      <w:r>
        <w:t xml:space="preserve">Pladsbillet, hvis du tager toget</w:t>
      </w:r>
    </w:p>
    <w:p>
      <w:pPr>
        <w:pStyle w:val="Heading1"/>
      </w:pPr>
      <w:r>
        <w:t xml:space="preserve">Når sagen er berammet</w:t>
      </w:r>
    </w:p>
    <w:p>
      <w:pPr>
        <w:pStyle w:val="Normal"/>
      </w:pPr>
      <w:r>
        <w:t xml:space="preserve">Send indkaldelse til hovedforhandling til parten og samtlige vidner.</w:t>
      </w:r>
    </w:p>
    <w:p>
      <w:pPr>
        <w:pStyle w:val="Normal"/>
      </w:pPr>
      <w:r>
        <w:t xml:space="preserve">Fristen for at bede retten om omberammelse, hvis en part eller et vidne ikke kan møde, er typisk 14 dage fra berammelsen. Kræv derfor, at part og vidner inden for max 1 uge bekræfter, at de møder til hovedforhandlingen.</w:t>
      </w:r>
    </w:p>
    <w:p>
      <w:pPr>
        <w:pStyle w:val="Normal"/>
      </w:pPr>
      <w:r>
        <w:t xml:space="preserve">Husk at fremnotere og følge op.</w:t>
      </w:r>
    </w:p>
    <w:p>
      <w:pPr>
        <w:pStyle w:val="Heading1"/>
      </w:pPr>
      <w:r>
        <w:t xml:space="preserve">8 uger før hovedforhandling</w:t>
      </w:r>
    </w:p>
    <w:p>
      <w:pPr>
        <w:pStyle w:val="Normal"/>
      </w:pPr>
      <w:r>
        <w:t xml:space="preserve">Forberedelsen er afsluttet, og alt materiale skal laves. Reserver på forhånd hele dagen i kalenderen. Du får brug for det.</w:t>
      </w:r>
    </w:p>
    <w:p>
      <w:pPr>
        <w:pStyle w:val="Normal"/>
      </w:pPr>
      <w:r>
        <w:t xml:space="preserve">Følgende skal gøres:</w:t>
      </w:r>
    </w:p>
    <w:p>
      <w:pPr>
        <w:pStyle w:val="Heading2"/>
      </w:pPr>
      <w:r>
        <w:t xml:space="preserve">Påstandsdokument</w:t>
      </w:r>
    </w:p>
    <w:p>
      <w:pPr>
        <w:pStyle w:val="Normal"/>
      </w:pPr>
      <w:r>
        <w:t xml:space="preserve">Lav påstandsdokument og indlever til retten.</w:t>
      </w:r>
    </w:p>
    <w:p>
      <w:pPr>
        <w:pStyle w:val="Normal"/>
      </w:pPr>
      <w:r>
        <w:t xml:space="preserve">Alle byretter samt Østre Landsret kræver påstandsdokument. Vestre Landsret gør typisk ikke, hvis der er tale om ankesager uden noget væsentligt nyt.</w:t>
      </w:r>
    </w:p>
    <w:p>
      <w:pPr>
        <w:pStyle w:val="Normal"/>
      </w:pPr>
      <w:r>
        <w:t xml:space="preserve">Hvis du er i Vestre Landsret, og der ikke er kommet væsentlige nye tvistepunkter ind i sagen, og de ikke har bedt om påstandsdokument, så er der ikke nogen grund til at lave et.</w:t>
      </w:r>
    </w:p>
    <w:p>
      <w:pPr>
        <w:pStyle w:val="Normal"/>
      </w:pPr>
      <w:r>
        <w:t xml:space="preserve">Hvis du er i Østre Landsret, og der ikke er fremkommet noget væsentligt nyt i ankesagen, så genbrug påstandsdokumentet fra byretten, men husk at ændre fra sagsøger/sagsøgte til appellant/indstævnte.</w:t>
      </w:r>
    </w:p>
    <w:p>
      <w:pPr>
        <w:pStyle w:val="Normal"/>
      </w:pPr>
      <w:r>
        <w:t xml:space="preserve">Husk, at et påstandsdokument kun skal være en kort opsummering af dine væsentligste hovedsynspunkter i sagen. Det er ikke en nedskrivning af din procedure.</w:t>
      </w:r>
    </w:p>
    <w:p>
      <w:pPr>
        <w:pStyle w:val="Normal"/>
      </w:pPr>
      <w:r>
        <w:t xml:space="preserve">Påstandsdokumentet skal til gengæld beskytte dig mod indsigelser om, at du rejser nye anbringender under hovedforhandlingen, så tjek at det indeholder et par linjer om hver problemstilling i sagen.</w:t>
      </w:r>
    </w:p>
    <w:p>
      <w:pPr>
        <w:pStyle w:val="Normal"/>
      </w:pPr>
      <w:r>
        <w:t xml:space="preserve">Hvis enten sagens fakta eller jura er usædvanligt komplekse, kan der i stedet for påstandsdokument laves et sammenfattende processkrift. Det er højest relevant i 1 ud af 10 sager.</w:t>
      </w:r>
    </w:p>
    <w:p>
      <w:pPr>
        <w:pStyle w:val="Normal"/>
      </w:pPr>
      <w:r>
        <w:t xml:space="preserve">Husk:</w:t>
      </w:r>
    </w:p>
    <w:p>
      <w:pPr>
        <w:pStyle w:val="ListParagraph"/>
        <w:numPr>
          <w:ilvl w:val="0"/>
          <w:numId w:val="2"/>
        </w:numPr>
      </w:pPr>
      <w:r>
        <w:t xml:space="preserve">Et påstandsdokument på mere end 4 sider er for langt.</w:t>
      </w:r>
    </w:p>
    <w:p>
      <w:pPr>
        <w:pStyle w:val="ListParagraph"/>
        <w:numPr>
          <w:ilvl w:val="0"/>
          <w:numId w:val="2"/>
        </w:numPr>
      </w:pPr>
      <w:r>
        <w:t xml:space="preserve">Et sammenfattende processkrift på mere end 8 sider er for langt.</w:t>
      </w:r>
    </w:p>
    <w:p>
      <w:pPr>
        <w:pStyle w:val="Heading2"/>
      </w:pPr>
      <w:r>
        <w:t xml:space="preserve">Tidsplan</w:t>
      </w:r>
    </w:p>
    <w:p>
      <w:pPr>
        <w:pStyle w:val="Normal"/>
      </w:pPr>
      <w:r>
        <w:t xml:space="preserve">Tjek på minretssag.dk under 'Retsmøder' hvornår retten har sat start- og stop-tidspunkt for hovedforhandlingen.</w:t>
      </w:r>
    </w:p>
    <w:p>
      <w:pPr>
        <w:pStyle w:val="Normal"/>
      </w:pPr>
      <w:r>
        <w:t xml:space="preserve">Alle retter, både byretter og de to landsretter, kræver at der indsættes 1 times frokostpause fra kl. 12.00 til 13.00.</w:t>
      </w:r>
    </w:p>
    <w:p>
      <w:pPr>
        <w:pStyle w:val="Normal"/>
      </w:pPr>
      <w:r>
        <w:t xml:space="preserve">Lav udkast til tidsplan og send til modpartsadvokaten.</w:t>
      </w:r>
    </w:p>
    <w:p>
      <w:pPr>
        <w:pStyle w:val="Normal"/>
      </w:pPr>
      <w:r>
        <w:t xml:space="preserve">Forklar modpartsadvokaten, at hvis vedkommende har ønsker til ændringer af tidsplanen, skal de sendes tilbage i form af et revideret udkast eller som minimum formuleres så tydeligt, at de kan skrives direkte ind i tidsplanen.</w:t>
      </w:r>
    </w:p>
    <w:p>
      <w:pPr>
        <w:pStyle w:val="Normal"/>
      </w:pPr>
      <w:r>
        <w:t xml:space="preserve">Husk at forelæggelsen altid tager længere tid end forventet. Det tager også længere tid, end når man øver den derhjemme, eftersom modparten og retten afbryder undervejs, når man står i retten.</w:t>
      </w:r>
    </w:p>
    <w:p>
      <w:pPr>
        <w:pStyle w:val="Normal"/>
      </w:pPr>
      <w:r>
        <w:t xml:space="preserve">Guidelines for forelæggelse:</w:t>
      </w:r>
    </w:p>
    <w:p>
      <w:pPr>
        <w:pStyle w:val="ListParagraph"/>
        <w:numPr>
          <w:ilvl w:val="0"/>
          <w:numId w:val="2"/>
        </w:numPr>
      </w:pPr>
      <w:r>
        <w:t xml:space="preserve">Sag med helt enkel juridisk tvist og en begrænset mængde fakta: 30 minutter</w:t>
      </w:r>
    </w:p>
    <w:p>
      <w:pPr>
        <w:pStyle w:val="ListParagraph"/>
        <w:numPr>
          <w:ilvl w:val="0"/>
          <w:numId w:val="2"/>
        </w:numPr>
      </w:pPr>
      <w:r>
        <w:t xml:space="preserve">Sag om ansvar uden tvist om årsagssammenhæng: 45 minutter</w:t>
      </w:r>
    </w:p>
    <w:p>
      <w:pPr>
        <w:pStyle w:val="ListParagraph"/>
        <w:numPr>
          <w:ilvl w:val="0"/>
          <w:numId w:val="2"/>
        </w:numPr>
      </w:pPr>
      <w:r>
        <w:t xml:space="preserve">Sag om årsagssammenhæng uden tvist om ansvar eller fakta: 60 minutter</w:t>
      </w:r>
    </w:p>
    <w:p>
      <w:pPr>
        <w:pStyle w:val="ListParagraph"/>
        <w:numPr>
          <w:ilvl w:val="0"/>
          <w:numId w:val="2"/>
        </w:numPr>
      </w:pPr>
      <w:r>
        <w:t xml:space="preserve">Sag om både ansvar og årsagssammenhæng: 75 minutter</w:t>
      </w:r>
    </w:p>
    <w:p>
      <w:pPr>
        <w:pStyle w:val="Heading2"/>
      </w:pPr>
      <w:r>
        <w:t xml:space="preserve">Ekstrakt</w:t>
      </w:r>
    </w:p>
    <w:p>
      <w:pPr>
        <w:pStyle w:val="Normal"/>
      </w:pPr>
      <w:r>
        <w:t xml:space="preserve">Lav ekstrakt-udkast med egne indstregninger, der sendes til modpartsadvokaten med udtrykkelig angivelse af, at:</w:t>
      </w:r>
    </w:p>
    <w:p>
      <w:pPr>
        <w:pStyle w:val="ListParagraph"/>
        <w:numPr>
          <w:ilvl w:val="0"/>
          <w:numId w:val="2"/>
        </w:numPr>
      </w:pPr>
      <w:r>
        <w:t xml:space="preserve">Vedkommende skal lave sine supplerende indstregninger direkte i den fremsendte fil ved brug af Adobe Acrobat,</w:t>
      </w:r>
    </w:p>
    <w:p>
      <w:pPr>
        <w:pStyle w:val="ListParagraph"/>
        <w:numPr>
          <w:ilvl w:val="0"/>
          <w:numId w:val="2"/>
        </w:numPr>
      </w:pPr>
      <w:r>
        <w:t xml:space="preserve">Indstregningerne skal afspejle det, der ønskes dokumenteret ved forelæggelsen, så ikke noget med bare ukritisk at indstrege hele sider, og</w:t>
      </w:r>
    </w:p>
    <w:p>
      <w:pPr>
        <w:pStyle w:val="ListParagraph"/>
        <w:numPr>
          <w:ilvl w:val="0"/>
          <w:numId w:val="2"/>
        </w:numPr>
      </w:pPr>
      <w:r>
        <w:t xml:space="preserve">Filen skal returneres per mail, sådan at du herefter blot kan indføje parternes påstandsdokumenter i den, når de foreligger, og derefter indlevere til retten som en fælles og afstemt ekstrakt, uden behov for yderligere godkendelse hos modpartsadvokaten.</w:t>
      </w:r>
    </w:p>
    <w:p>
      <w:pPr>
        <w:pStyle w:val="Normal"/>
      </w:pPr>
      <w:r>
        <w:t xml:space="preserve">Modparten bør opfordres udtrykkeligt til at sende ekstraktudkastet retur med sine indstregninger senest 14 dage inden hovedforhandlingen.</w:t>
      </w:r>
    </w:p>
    <w:p>
      <w:pPr>
        <w:pStyle w:val="Normal"/>
      </w:pPr>
      <w:r>
        <w:t xml:space="preserve">Husk ikke at sætte sidetal i ekstraktudkastet.</w:t>
      </w:r>
    </w:p>
    <w:p>
      <w:pPr>
        <w:pStyle w:val="Heading2"/>
      </w:pPr>
      <w:r>
        <w:t xml:space="preserve">Materialesamling</w:t>
      </w:r>
    </w:p>
    <w:p>
      <w:pPr>
        <w:pStyle w:val="Normal"/>
      </w:pPr>
      <w:r>
        <w:t xml:space="preserve">Lav materialesamling med egne indstregninger og foreløbig indholdsfortegnelse. Send den til modpartsadvokaten med et tilbud om at lave fælles materialesamling.</w:t>
      </w:r>
    </w:p>
    <w:p>
      <w:pPr>
        <w:pStyle w:val="Normal"/>
      </w:pPr>
      <w:r>
        <w:t xml:space="preserve">Sørg for at fremhæve, at:</w:t>
      </w:r>
    </w:p>
    <w:p>
      <w:pPr>
        <w:pStyle w:val="ListParagraph"/>
        <w:numPr>
          <w:ilvl w:val="0"/>
          <w:numId w:val="2"/>
        </w:numPr>
      </w:pPr>
      <w:r>
        <w:t xml:space="preserve">Modpartens supplerende materiale skal være modtaget senest 14 dage inden hovedforhandlingen. Er det ikke modtaget på dette tidspunkt, bortfalder tilbuddet, og så må modparten lave egen materialesamling,</w:t>
      </w:r>
    </w:p>
    <w:p>
      <w:pPr>
        <w:pStyle w:val="ListParagraph"/>
        <w:numPr>
          <w:ilvl w:val="0"/>
          <w:numId w:val="2"/>
        </w:numPr>
      </w:pPr>
      <w:r>
        <w:t xml:space="preserve">Materialet skal modtages indstreget og i PDF-format, så det er muligt at indsætte det direkte i en materialesamling,</w:t>
      </w:r>
    </w:p>
    <w:p>
      <w:pPr>
        <w:pStyle w:val="ListParagraph"/>
        <w:numPr>
          <w:ilvl w:val="0"/>
          <w:numId w:val="2"/>
        </w:numPr>
      </w:pPr>
      <w:r>
        <w:t xml:space="preserve">Hvis modparten har særlige ønsker til rækkefølge af materialet eller udformningen af indholdsfortegnelsen, skal det oplyses. Ellers tages det som udtryk for, at du frit kan bestemme disse, og</w:t>
      </w:r>
    </w:p>
    <w:p>
      <w:pPr>
        <w:pStyle w:val="ListParagraph"/>
        <w:numPr>
          <w:ilvl w:val="0"/>
          <w:numId w:val="2"/>
        </w:numPr>
      </w:pPr>
      <w:r>
        <w:t xml:space="preserve">Når det supplerende materiale er modtaget, vil materialesamlingen blive færdiggjort og indleveret til retten uden yderligere godkendelse fra modpartsadvokaten.</w:t>
      </w:r>
    </w:p>
    <w:p>
      <w:pPr>
        <w:pStyle w:val="Normal"/>
      </w:pPr>
      <w:r>
        <w:t xml:space="preserve">Husk ikke at sætte sidetal i udkastet til materialesamling.</w:t>
      </w:r>
    </w:p>
    <w:p>
      <w:pPr>
        <w:pStyle w:val="Heading2"/>
      </w:pPr>
      <w:r>
        <w:t xml:space="preserve">Påmindelse til part og vidner</w:t>
      </w:r>
    </w:p>
    <w:p>
      <w:pPr>
        <w:pStyle w:val="Normal"/>
      </w:pPr>
      <w:r>
        <w:t xml:space="preserve">Hvis det er mere end nogle få måneder siden, at sagen blev berammet, så send en påmindelse til parten og vidnerne, hvor den tidligere indkaldelse genfremsendes sammen med en kort orientering om, at du blot for god ordens skyld sender en påmindelse.</w:t>
      </w:r>
    </w:p>
    <w:p>
      <w:pPr>
        <w:pStyle w:val="Heading2"/>
      </w:pPr>
      <w:r>
        <w:t xml:space="preserve">Vidnegodtgørelse</w:t>
      </w:r>
    </w:p>
    <w:p>
      <w:pPr>
        <w:pStyle w:val="Normal"/>
      </w:pPr>
      <w:r>
        <w:t xml:space="preserve">Der skal beregnes godtgørelser til vidner.</w:t>
      </w:r>
    </w:p>
    <w:p>
      <w:pPr>
        <w:pStyle w:val="Normal"/>
      </w:pPr>
      <w:r>
        <w:t xml:space="preserve">Godtgørelsen skal ikke udbetales, før hovedforhandlingen er gennemført, og vidnet faktisk er mødt, men der bør medbringes en beregning af vidnegodtgørelsen ved hovedforhandlingen, og beregningen bør være godkendt på forhånd. Den bør derfor laves allerede nu.</w:t>
      </w:r>
    </w:p>
    <w:p>
      <w:pPr>
        <w:pStyle w:val="Normal"/>
      </w:pPr>
      <w:r>
        <w:t xml:space="preserve">Husk, at:</w:t>
      </w:r>
    </w:p>
    <w:p>
      <w:pPr>
        <w:pStyle w:val="ListParagraph"/>
        <w:numPr>
          <w:ilvl w:val="0"/>
          <w:numId w:val="2"/>
        </w:numPr>
      </w:pPr>
      <w:r>
        <w:t xml:space="preserve">Vidner ikke automatisk skal have kompensation for en fuld arbejdsdag, blot fordi de tager fri for at kunne afgive forklaring. De får kun kompensation for de timer, som det faktisk har været nødvendigt at tage fri. Hvis de skal have godtgørelse for en fuld dag, skal det kunne påvises, at det er fordi, vidneforklaringen faktisk har afskåret dem fra at arbejde hele dagen.</w:t>
      </w:r>
    </w:p>
    <w:p>
      <w:pPr>
        <w:pStyle w:val="ListParagraph"/>
        <w:numPr>
          <w:ilvl w:val="0"/>
          <w:numId w:val="2"/>
        </w:numPr>
      </w:pPr>
      <w:r>
        <w:t xml:space="preserve">Kørselsgodtgørelse i egen bil kun beregnes med statens lave takster.</w:t>
      </w:r>
    </w:p>
    <w:p>
      <w:pPr>
        <w:pStyle w:val="Normal"/>
      </w:pPr>
      <w:r>
        <w:t xml:space="preserve">Når der er lavet beregning af vidnegodtgørelse, sendes den til godkendelse hos både vidnet og modpartsadvokaten.</w:t>
      </w:r>
    </w:p>
    <w:p>
      <w:pPr>
        <w:pStyle w:val="Heading1"/>
      </w:pPr>
      <w:r>
        <w:t xml:space="preserve">2 uger før hovedforhandling</w:t>
      </w:r>
    </w:p>
    <w:p>
      <w:pPr>
        <w:pStyle w:val="Heading2"/>
      </w:pPr>
      <w:r>
        <w:t xml:space="preserve">Ekstrakt og materialesamling</w:t>
      </w:r>
    </w:p>
    <w:p>
      <w:pPr>
        <w:pStyle w:val="Normal"/>
      </w:pPr>
      <w:r>
        <w:t xml:space="preserve">Færdiggør både ekstrakt og materialesamling, og læg dem begge på portalen. Hvis der er tale om en fælles materialesamling, skal den navngives sådan på portalen.</w:t>
      </w:r>
    </w:p>
    <w:p>
      <w:pPr>
        <w:pStyle w:val="Normal"/>
      </w:pPr>
      <w:r>
        <w:t xml:space="preserve">Gem to forskellige eksemplarer af ekstrakt og materialesamling på sagen – henholdsvis med og uden sidetal.</w:t>
      </w:r>
    </w:p>
    <w:p>
      <w:pPr>
        <w:pStyle w:val="Normal"/>
      </w:pPr>
      <w:r>
        <w:t xml:space="preserve">Eksemplaret uden sidetal er til brug for, hvis sagen tabes og ankes, og der skal laves ny ekstrakt og materialesamling i ankesagen. Så slipper man for at skulle sidde og manuelt fjerne sidetal til den tid.</w:t>
      </w:r>
    </w:p>
    <w:p>
      <w:pPr>
        <w:pStyle w:val="Normal"/>
      </w:pPr>
      <w:r>
        <w:t xml:space="preserve">Undersøg om retten har bedt om fysiske eksemplarer. Hvis det er tilfældet, så skal de sendes hurtigst muligt.</w:t>
      </w:r>
    </w:p>
    <w:p>
      <w:pPr>
        <w:pStyle w:val="Normal"/>
      </w:pPr>
      <w:r>
        <w:t xml:space="preserve">Der er ikke pligt til samtidig også at sende kopi af fysiske eksemplarer til modpartsadvokaten. Modparten skal blot have orientering om, at de er sendt til retten. Men det er god stil at spørge, om modparten også vil have et eksemplar med, når nu man har gang i printeren.</w:t>
      </w:r>
    </w:p>
    <w:p>
      <w:pPr>
        <w:pStyle w:val="Normal"/>
      </w:pPr>
      <w:r>
        <w:t xml:space="preserve">Hvis modpartsadvokaten stadig ikke er vendt tilbage med supplerende indstregninger til ekstrakt-udkastet, så ryk kraftigt. Du skal have tid til både at printe og sende ekstrakten, så den skal være færdig nu.</w:t>
      </w:r>
    </w:p>
    <w:p>
      <w:pPr>
        <w:pStyle w:val="Heading2"/>
      </w:pPr>
      <w:r>
        <w:t xml:space="preserve">Manuskript</w:t>
      </w:r>
    </w:p>
    <w:p>
      <w:pPr>
        <w:pStyle w:val="Normal"/>
      </w:pPr>
      <w:r>
        <w:t xml:space="preserve">Sagen skal færdigforberedes, og det skal gøres i dag, nu hvor ekstrakt og materialesamling alligevel er fremme og du har dem i erindring.</w:t>
      </w:r>
    </w:p>
    <w:p>
      <w:pPr>
        <w:pStyle w:val="Normal"/>
      </w:pPr>
      <w:r>
        <w:t xml:space="preserve">Sæt hele dagen af. Du får brug for det. Og sørg for at have skrevet det i kalenderen på forhånd.</w:t>
      </w:r>
    </w:p>
    <w:p>
      <w:pPr>
        <w:pStyle w:val="Normal"/>
      </w:pPr>
      <w:r>
        <w:t xml:space="preserve">Det mest hensigtsmæssige er at lave et manuskript til dig selv.</w:t>
      </w:r>
    </w:p>
    <w:p>
      <w:pPr>
        <w:pStyle w:val="Normal"/>
      </w:pPr>
      <w:r>
        <w:t xml:space="preserve">Husk at:</w:t>
      </w:r>
    </w:p>
    <w:p>
      <w:pPr>
        <w:pStyle w:val="ListParagraph"/>
        <w:numPr>
          <w:ilvl w:val="0"/>
          <w:numId w:val="2"/>
        </w:numPr>
      </w:pPr>
      <w:r>
        <w:t xml:space="preserve">Starte manuskriptet med en påmindelse om, hvilken side din påstand er på, så du kan finde den, når der skal nedlægges påstand</w:t>
      </w:r>
    </w:p>
    <w:p>
      <w:pPr>
        <w:pStyle w:val="ListParagraph"/>
        <w:numPr>
          <w:ilvl w:val="0"/>
          <w:numId w:val="2"/>
        </w:numPr>
      </w:pPr>
      <w:r>
        <w:t xml:space="preserve">Skrive dine spørgsmål til part og vidner ind</w:t>
      </w:r>
    </w:p>
    <w:p>
      <w:pPr>
        <w:pStyle w:val="ListParagraph"/>
        <w:numPr>
          <w:ilvl w:val="0"/>
          <w:numId w:val="2"/>
        </w:numPr>
      </w:pPr>
      <w:r>
        <w:t xml:space="preserve">Det skal ikke være en ord-for-ord gengivelse af, hvad du har tænkt dig at sige til hovedforhandlingen, men en samling af korte sætninger og/eller stikord, du kan tale ud fra.</w:t>
      </w:r>
    </w:p>
    <w:p>
      <w:pPr>
        <w:pStyle w:val="Normal"/>
      </w:pPr>
      <w:r>
        <w:t xml:space="preserve">Sørg for at have et system, du bruger konsekvent, så du:</w:t>
      </w:r>
    </w:p>
    <w:p>
      <w:pPr>
        <w:pStyle w:val="NoSpacing"/>
      </w:pPr>
      <w:r>
        <w:t xml:space="preserve">A) Ved hvornår du henholdsvis skal slå op på en side i ekstrakt/materialesamling og læse op fra indholdet, og hvornår du bare skal orientere om, at en given oplysning står på en given side.</w:t>
      </w:r>
    </w:p>
    <w:p>
      <w:pPr>
        <w:pStyle w:val="NoSpacing"/>
      </w:pPr>
    </w:p>
    <w:p>
      <w:pPr>
        <w:pStyle w:val="NoSpacing"/>
      </w:pPr>
      <w:r/>
      <w:r>
        <w:rPr>
          <w:b/>
          <w:bCs/>
        </w:rPr>
        <w:t xml:space="preserve">Forslag:</w:t>
      </w:r>
      <w:r/>
    </w:p>
    <w:p>
      <w:pPr>
        <w:pStyle w:val="NoSpacing"/>
        <w:numPr>
          <w:ilvl w:val="0"/>
          <w:numId w:val="2"/>
        </w:numPr>
      </w:pPr>
      <w:r>
        <w:t xml:space="preserve">Indrykning og punktopstilling betyder 'slå op og læs højt'.</w:t>
      </w:r>
    </w:p>
    <w:p>
      <w:pPr>
        <w:pStyle w:val="NoSpacing"/>
        <w:numPr>
          <w:ilvl w:val="0"/>
          <w:numId w:val="2"/>
        </w:numPr>
      </w:pPr>
      <w:r>
        <w:t xml:space="preserve">Angivelse i parentes betyder 'bare fortæl'.</w:t>
      </w:r>
    </w:p>
    <w:p>
      <w:pPr>
        <w:pStyle w:val="NoSpacing"/>
      </w:pPr>
    </w:p>
    <w:p>
      <w:pPr>
        <w:pStyle w:val="NoSpacing"/>
      </w:pPr>
      <w:r>
        <w:t xml:space="preserve">B) Klart kan se, hvornår du skal fortsætte på næste side, hvornår du skal bladre flere sider frem, og hvornår du er færdig med et givent bilag.</w:t>
      </w:r>
    </w:p>
    <w:p>
      <w:pPr>
        <w:pStyle w:val="NoSpacing"/>
      </w:pPr>
    </w:p>
    <w:p>
      <w:pPr>
        <w:pStyle w:val="NoSpacing"/>
      </w:pPr>
      <w:r/>
      <w:r>
        <w:rPr>
          <w:b/>
          <w:bCs/>
        </w:rPr>
        <w:t xml:space="preserve">Forslag:</w:t>
      </w:r>
      <w:r/>
    </w:p>
    <w:p>
      <w:pPr>
        <w:pStyle w:val="NoSpacing"/>
        <w:numPr>
          <w:ilvl w:val="0"/>
          <w:numId w:val="2"/>
        </w:numPr>
      </w:pPr>
      <w:r>
        <w:t xml:space="preserve">˃ betyder 'næste side'.</w:t>
      </w:r>
    </w:p>
    <w:p>
      <w:pPr>
        <w:pStyle w:val="NoSpacing"/>
        <w:numPr>
          <w:ilvl w:val="0"/>
          <w:numId w:val="2"/>
        </w:numPr>
      </w:pPr>
      <w:r>
        <w:t xml:space="preserve">→ s. xx betyder 'fortsæt på side xx'.</w:t>
      </w:r>
    </w:p>
    <w:p>
      <w:pPr>
        <w:pStyle w:val="NoSpacing"/>
        <w:numPr>
          <w:ilvl w:val="0"/>
          <w:numId w:val="2"/>
        </w:numPr>
      </w:pPr>
      <w:r>
        <w:t xml:space="preserve">ɸ betyder 'slut på bilag'.</w:t>
      </w:r>
    </w:p>
    <w:p>
      <w:pPr>
        <w:pStyle w:val="NoSpacing"/>
      </w:pPr>
    </w:p>
    <w:p>
      <w:pPr>
        <w:pStyle w:val="NoSpacing"/>
      </w:pPr>
      <w:r>
        <w:t xml:space="preserve">C) Tydeligt kan se, hvornår du skal henholdsvis læse ordret op fra teksten, og hvornår du bare skal gengive overfladisk, hvad teksten indeholder.</w:t>
      </w:r>
    </w:p>
    <w:p>
      <w:pPr>
        <w:pStyle w:val="NoSpacing"/>
      </w:pPr>
    </w:p>
    <w:p>
      <w:pPr>
        <w:pStyle w:val="NoSpacing"/>
      </w:pPr>
      <w:r/>
      <w:r>
        <w:rPr>
          <w:b/>
          <w:bCs/>
        </w:rPr>
        <w:t xml:space="preserve">Forslag:</w:t>
      </w:r>
      <w:r/>
    </w:p>
    <w:p>
      <w:pPr>
        <w:pStyle w:val="NoSpacing"/>
        <w:numPr>
          <w:ilvl w:val="0"/>
          <w:numId w:val="2"/>
        </w:numPr>
      </w:pPr>
      <w:r>
        <w:t xml:space="preserve">Lige streg i marginen betyder 'læs ordret op'.</w:t>
      </w:r>
    </w:p>
    <w:p>
      <w:pPr>
        <w:pStyle w:val="NoSpacing"/>
        <w:numPr>
          <w:ilvl w:val="0"/>
          <w:numId w:val="2"/>
        </w:numPr>
      </w:pPr>
      <w:r>
        <w:t xml:space="preserve">Bølget streg i marginen betyder 'løs gengivelse'.</w:t>
      </w:r>
    </w:p>
    <w:sectPr>
      <w:headerReference w:type="first" r:id="rId6"/>
      <w:footerReference w:type="default" r:id="rId7"/>
      <w:footerReference w:type="first" r:id="rId8"/>
      <w:pgSz w:w="11906" w:h="16838" w:orient="portrait"/>
      <w:pgMar w:top="1701" w:right="1418" w:bottom="1701" w:left="1418" w:header="567"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rPr>
        <w:sz w:val="18"/>
        <w:szCs w:val="18"/>
        <w:rFonts w:ascii="Tahoma" w:cs="Tahoma" w:eastAsia="Tahoma" w:hAnsi="Tahoma"/>
      </w:rPr>
      <w:t xml:space="preserve">Side </w:t>
    </w:r>
    <w:fldSimple w:instr="PAGE"/>
    <w:r>
      <w:rPr>
        <w:sz w:val="18"/>
        <w:szCs w:val="18"/>
        <w:rFonts w:ascii="Tahoma" w:cs="Tahoma" w:eastAsia="Tahoma" w:hAnsi="Tahoma"/>
      </w:rPr>
      <w:t xml:space="preserve"> af </w:t>
    </w:r>
    <w:fldSimple w:instr="NUMPAGE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fldChar w:fldCharType="begin"/>
    </w:r>
    <w:r>
      <w:instrText xml:space="preserve"> IF </w:instrText>
    </w:r>
    <w:r>
      <w:fldChar w:fldCharType="begin"/>
    </w:r>
    <w:r>
      <w:instrText xml:space="preserve"> NUMPAGES </w:instrText>
    </w:r>
    <w:r>
      <w:fldChar w:fldCharType="separate"/>
    </w:r>
    <w:r>
      <w:t>1</w:t>
    </w:r>
    <w:r>
      <w:fldChar w:fldCharType="end"/>
    </w:r>
    <w:r>
      <w:instrText xml:space="preserve"> &gt; 1 "Side </w:instrText>
    </w:r>
    <w:r>
      <w:fldChar w:fldCharType="begin"/>
    </w:r>
    <w:r>
      <w:instrText xml:space="preserve"> PAGE </w:instrText>
    </w:r>
    <w:r>
      <w:fldChar w:fldCharType="separate"/>
    </w:r>
    <w:r>
      <w:t>1</w:t>
    </w:r>
    <w:r>
      <w:fldChar w:fldCharType="end"/>
    </w:r>
    <w:r>
      <w:instrText xml:space="preserve"> af </w:instrText>
    </w:r>
    <w:r>
      <w:fldChar w:fldCharType="begin"/>
    </w:r>
    <w:r>
      <w:instrText xml:space="preserve"> NUMPAGES </w:instrText>
    </w:r>
    <w:r>
      <w:fldChar w:fldCharType="separate"/>
    </w:r>
    <w:r>
      <w:t>1</w:t>
    </w:r>
    <w:r>
      <w:fldChar w:fldCharType="end"/>
    </w:r>
    <w:r>
      <w:instrText xml:space="preserve"> " ""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28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09" w:hanging="425"/>
      </w:pPr>
    </w:lvl>
  </w:abstractNum>
  <w:abstractNum w:abstractNumId="3" w15:restartNumberingAfterBreak="0">
    <w:multiLevelType w:val="hybridMultilevel"/>
    <w:lvl w:ilvl="0" w15:tentative="1">
      <w:start w:val="1"/>
      <w:numFmt w:val="decimal"/>
      <w:lvlText w:val="%1."/>
      <w:lvlJc w:val="left"/>
      <w:pPr>
        <w:ind w:left="709" w:hanging="425"/>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zoom w:percent="100"/>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sz w:val="20"/>
        <w:szCs w:val="20"/>
        <w:rFonts w:ascii="Tahoma" w:cs="Tahoma" w:eastAsia="Tahoma" w:hAnsi="Tahoma"/>
      </w:rPr>
    </w:rPrDefault>
    <w:pPrDefault>
      <w:pPr>
        <w:spacing w:before="240" w:after="240" w:line="280" w:lineRule="atLeast"/>
      </w:pPr>
    </w:pPrDefault>
  </w:docDefaults>
  <w:latentStyles w:defLockedState="0" w:defUIPriority="99" w:defSemiHidden="1" w:defUnhideWhenUsed="0" w:defQFormat="0" w:count="376">
    <w:lsdException w:name="Normal" w:uiPriority="1" w:semiHidden="0" w:unhideWhenUsed="0" w:qFormat="1"/>
    <w:lsdException w:name="No Spacing" w:uiPriority="2" w:semiHidden="0" w:unhideWhenUsed="0" w:qFormat="1"/>
    <w:lsdException w:name="Title" w:uiPriority="3" w:semiHidden="0" w:unhideWhenUsed="0" w:qFormat="1"/>
    <w:lsdException w:name="heading 1" w:uiPriority="4" w:semiHidden="0" w:unhideWhenUsed="0" w:qFormat="1"/>
    <w:lsdException w:name="heading 2" w:uiPriority="5" w:semiHidden="0" w:unhideWhenUsed="0" w:qFormat="1"/>
    <w:lsdException w:name="heading 3" w:uiPriority="6" w:semiHidden="0" w:unhideWhenUsed="0" w:qFormat="1"/>
    <w:lsdException w:name="Quote" w:uiPriority="7" w:semiHidden="0" w:unhideWhenUsed="0" w:qFormat="1"/>
    <w:lsdException w:name="List Paragraph" w:uiPriority="8" w:semiHidden="0" w:unhideWhenUsed="0" w:qFormat="1"/>
  </w:latentStyles>
  <w:style w:type="paragraph" w:styleId="Normal">
    <w:name w:val="Normal"/>
    <w:next w:val="Normal"/>
    <w:qFormat/>
    <w:pPr>
      <w:spacing w:before="240" w:after="240" w:line="280" w:lineRule="atLeast"/>
    </w:pPr>
    <w:rPr>
      <w:sz w:val="20"/>
      <w:szCs w:val="20"/>
      <w:rFonts w:ascii="Tahoma" w:cs="Tahoma" w:eastAsia="Tahoma" w:hAnsi="Tahoma"/>
    </w:rPr>
    <w:uiPriority w:val="1"/>
  </w:style>
  <w:style w:type="paragraph" w:styleId="NoSpacing">
    <w:name w:val="Ingen afstand"/>
    <w:basedOn w:val="Normal"/>
    <w:next w:val="NoSpacing"/>
    <w:qFormat/>
    <w:pPr>
      <w:spacing w:before="0" w:after="0" w:line="280" w:lineRule="atLeast"/>
    </w:pPr>
    <w:rPr>
      <w:sz w:val="20"/>
      <w:szCs w:val="20"/>
      <w:rFonts w:ascii="Tahoma" w:cs="Tahoma" w:eastAsia="Tahoma" w:hAnsi="Tahoma"/>
    </w:rPr>
    <w:uiPriority w:val="2"/>
  </w:style>
  <w:style w:type="paragraph" w:styleId="Title">
    <w:name w:val="Titel"/>
    <w:basedOn w:val="Normal"/>
    <w:next w:val="Normal"/>
    <w:qFormat/>
    <w:pPr>
      <w:keepNext/>
      <w:spacing w:before="720" w:after="480" w:line="280" w:lineRule="atLeast"/>
    </w:pPr>
    <w:rPr>
      <w:b/>
      <w:bCs/>
      <w:color w:val="000000"/>
      <w:sz w:val="26"/>
      <w:szCs w:val="26"/>
      <w:rFonts w:ascii="Tahoma" w:cs="Tahoma" w:eastAsia="Tahoma" w:hAnsi="Tahoma"/>
    </w:rPr>
    <w:uiPriority w:val="3"/>
  </w:style>
  <w:style w:type="paragraph" w:styleId="Heading1">
    <w:name w:val="Overskrift 1"/>
    <w:basedOn w:val="Normal"/>
    <w:next w:val="Normal"/>
    <w:qFormat/>
    <w:pPr>
      <w:keepNext/>
      <w:spacing w:before="480" w:after="240" w:line="280" w:lineRule="atLeast"/>
    </w:pPr>
    <w:rPr>
      <w:b/>
      <w:bCs/>
      <w:color w:val="000000"/>
      <w:sz w:val="20"/>
      <w:szCs w:val="20"/>
      <w:caps/>
      <w:rFonts w:ascii="Tahoma" w:cs="Tahoma" w:eastAsia="Tahoma" w:hAnsi="Tahoma"/>
      <w:spacing w:val="10"/>
    </w:rPr>
    <w:uiPriority w:val="4"/>
  </w:style>
  <w:style w:type="paragraph" w:styleId="Heading2">
    <w:name w:val="Overskrift 2"/>
    <w:basedOn w:val="Normal"/>
    <w:next w:val="Normal"/>
    <w:qFormat/>
    <w:pPr>
      <w:keepNext/>
      <w:spacing w:before="360" w:after="240" w:line="280" w:lineRule="atLeast"/>
    </w:pPr>
    <w:rPr>
      <w:b/>
      <w:bCs/>
      <w:color w:val="000000"/>
      <w:sz w:val="20"/>
      <w:szCs w:val="20"/>
      <w:rFonts w:ascii="Tahoma" w:cs="Tahoma" w:eastAsia="Tahoma" w:hAnsi="Tahoma"/>
    </w:rPr>
    <w:uiPriority w:val="5"/>
  </w:style>
  <w:style w:type="paragraph" w:styleId="Heading3">
    <w:name w:val="Overskrift 3"/>
    <w:basedOn w:val="Normal"/>
    <w:next w:val="Normal"/>
    <w:qFormat/>
    <w:pPr>
      <w:keepNext/>
      <w:spacing w:before="360" w:after="120" w:line="280" w:lineRule="atLeast"/>
    </w:pPr>
    <w:rPr>
      <w:b w:val="false"/>
      <w:bCs w:val="false"/>
      <w:u w:val="single"/>
      <w:color w:val="000000"/>
      <w:sz w:val="20"/>
      <w:szCs w:val="20"/>
      <w:rFonts w:ascii="Tahoma" w:cs="Tahoma" w:eastAsia="Tahoma" w:hAnsi="Tahoma"/>
    </w:rPr>
    <w:uiPriority w:val="6"/>
  </w:style>
  <w:style w:type="paragraph" w:styleId="Quote">
    <w:name w:val="Citat"/>
    <w:basedOn w:val="Normal"/>
    <w:next w:val="Normal"/>
    <w:qFormat/>
    <w:pPr>
      <w:spacing w:before="240" w:after="240" w:line="280" w:lineRule="atLeast"/>
      <w:ind w:left="567" w:right="851"/>
    </w:pPr>
    <w:rPr>
      <w:i/>
      <w:iCs/>
      <w:sz w:val="19"/>
      <w:szCs w:val="19"/>
      <w:rFonts w:ascii="Tahoma" w:cs="Tahoma" w:eastAsia="Tahoma" w:hAnsi="Tahoma"/>
    </w:rPr>
    <w:uiPriority w:val="7"/>
  </w:style>
  <w:style w:type="paragraph" w:styleId="ListParagraph">
    <w:name w:val="Listeafsnit"/>
    <w:basedOn w:val="Normal"/>
    <w:qFormat/>
    <w:pPr>
      <w:spacing w:before="120" w:after="120" w:line="280" w:lineRule="atLeast"/>
      <w:ind w:left="709" w:hanging="425"/>
    </w:pPr>
    <w:rPr>
      <w:sz w:val="20"/>
      <w:szCs w:val="20"/>
      <w:rFonts w:ascii="Tahoma" w:cs="Tahoma" w:eastAsia="Tahoma" w:hAnsi="Tahoma"/>
    </w:rPr>
    <w:uiPriority w:val="8"/>
  </w:style>
  <w:style w:type="paragraph" w:styleId="Beregning">
    <w:name w:val="Beregning"/>
    <w:basedOn w:val="Normal"/>
    <w:next w:val="Beregning"/>
    <w:qFormat/>
    <w:pPr>
      <w:tabs>
        <w:tab w:val="right" w:pos="8222"/>
      </w:tabs>
      <w:spacing w:before="120" w:after="120" w:line="280" w:lineRule="atLeast"/>
      <w:ind w:left="567" w:right="851"/>
    </w:pPr>
    <w:rPr>
      <w:sz w:val="20"/>
      <w:szCs w:val="20"/>
      <w:rFonts w:ascii="Tahoma" w:cs="Tahoma" w:eastAsia="Tahoma" w:hAnsi="Tahoma"/>
    </w:rPr>
    <w:uiPriority w:val="9"/>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Tjekliste til retssager</dc:title>
  <dc:subject>Arbejdsskade</dc:subject>
  <dc:creator>MinParadigmesamling.dk</dc:creator>
  <cp:lastModifiedBy>MinParadigmesamling.dk</cp:lastModifiedBy>
  <cp:revision>1</cp:revision>
  <dcterms:created xsi:type="dcterms:W3CDTF">2026-07-02T20:34:54.160Z</dcterms:created>
  <dcterms:modified xsi:type="dcterms:W3CDTF">2026-07-02T20:34:54.160Z</dcterms:modified>
</cp:coreProperties>
</file>

<file path=docProps/custom.xml><?xml version="1.0" encoding="utf-8"?>
<Properties xmlns="http://schemas.openxmlformats.org/officeDocument/2006/custom-properties" xmlns:vt="http://schemas.openxmlformats.org/officeDocument/2006/docPropsVTypes"/>
</file>