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bookmarkStart w:id="0" w:name="_GoBack"/>
      <w:bookmarkEnd w:id="0"/>
      <w:r>
        <w:t xml:space="preserve">Behandling af personoplysninger</w:t>
      </w:r>
    </w:p>
    <w:p>
      <w:pPr>
        <w:pStyle w:val="Normal"/>
      </w:pPr>
      <w:r>
        <w:t xml:space="preserve">Denne information beskriver, hvordan </w:t>
      </w:r>
      <w:r>
        <w:t xml:space="preserve">[Forbund]</w:t>
      </w:r>
      <w:r>
        <w:t xml:space="preserve"> behandler personoplysninger i forbindelse med arbejdsskadesager.</w:t>
      </w:r>
    </w:p>
    <w:p>
      <w:pPr>
        <w:pStyle w:val="Normal"/>
      </w:pPr>
      <w:r>
        <w:t xml:space="preserve">Informationen er relevant for dig, hvis:</w:t>
      </w:r>
    </w:p>
    <w:p>
      <w:pPr>
        <w:pStyle w:val="ListParagraph"/>
        <w:numPr>
          <w:ilvl w:val="0"/>
          <w:numId w:val="2"/>
        </w:numPr>
      </w:pPr>
      <w:r>
        <w:t xml:space="preserve">Du er den skadelidte, som vi bistår i en verserende sag, eller</w:t>
      </w:r>
    </w:p>
    <w:p>
      <w:pPr>
        <w:pStyle w:val="ListParagraph"/>
        <w:numPr>
          <w:ilvl w:val="0"/>
          <w:numId w:val="2"/>
        </w:numPr>
      </w:pPr>
      <w:r>
        <w:t xml:space="preserve">Du er en tredjepart (fx vidne), hvis oplysninger vi behandler som led i sagsbehandlingen.</w:t>
      </w:r>
    </w:p>
    <w:p>
      <w:pPr>
        <w:pStyle w:val="Normal"/>
      </w:pPr>
      <w:r>
        <w:t xml:space="preserve">Vi behandler udelukkende personoplysninger til brug for den konkrete sag og kun i det omfang, det er sagligt, proportionalt og nødvendigt for vores varetagelse af sagen.</w:t>
      </w:r>
    </w:p>
    <w:p>
      <w:pPr>
        <w:pStyle w:val="Heading2"/>
      </w:pPr>
      <w:r>
        <w:t xml:space="preserve">Formål med behandlingen</w:t>
      </w:r>
    </w:p>
    <w:p>
      <w:pPr>
        <w:pStyle w:val="Normal"/>
      </w:pPr>
      <w:r>
        <w:t xml:space="preserve">Det er en forudsætning for at kunne behandle arbejdsskadesager, at der indhentes relevante oplysninger om skaden og den tilskadekomne.</w:t>
      </w:r>
    </w:p>
    <w:p>
      <w:pPr>
        <w:pStyle w:val="Normal"/>
      </w:pPr>
      <w:r>
        <w:t xml:space="preserve">Det indebærer, at det er nødvendigt at behandle oplysninger om selve tilskadekomsten fra både den tilskadekomne selv, men også fra tredjeparter, fx vidner.</w:t>
      </w:r>
    </w:p>
    <w:p>
      <w:pPr>
        <w:pStyle w:val="Normal"/>
      </w:pPr>
      <w:r>
        <w:t xml:space="preserve">For at kunne vurdere og opgøre erstatningskrav er det desuden nødvendigt at behandle oplysninger om den tilskadekomnes personlige, helbredsmæssige og økonomiske forhold.</w:t>
      </w:r>
    </w:p>
    <w:p>
      <w:pPr>
        <w:pStyle w:val="Heading2"/>
      </w:pPr>
      <w:r>
        <w:t xml:space="preserve">Kategorier af oplysninger, vi behandler</w:t>
      </w:r>
    </w:p>
    <w:p>
      <w:pPr>
        <w:pStyle w:val="Normal"/>
      </w:pPr>
      <w:r>
        <w:t xml:space="preserve">Vi behandler almindelige personoplysninger, herunder:</w:t>
      </w:r>
    </w:p>
    <w:p>
      <w:pPr>
        <w:pStyle w:val="ListParagraph"/>
        <w:numPr>
          <w:ilvl w:val="0"/>
          <w:numId w:val="2"/>
        </w:numPr>
      </w:pPr>
      <w:r>
        <w:t xml:space="preserve">Navn</w:t>
      </w:r>
    </w:p>
    <w:p>
      <w:pPr>
        <w:pStyle w:val="ListParagraph"/>
        <w:numPr>
          <w:ilvl w:val="0"/>
          <w:numId w:val="2"/>
        </w:numPr>
      </w:pPr>
      <w:r>
        <w:t xml:space="preserve">Adresse</w:t>
      </w:r>
    </w:p>
    <w:p>
      <w:pPr>
        <w:pStyle w:val="ListParagraph"/>
        <w:numPr>
          <w:ilvl w:val="0"/>
          <w:numId w:val="2"/>
        </w:numPr>
      </w:pPr>
      <w:r>
        <w:t xml:space="preserve">Andre almindelige identifikationsoplysninger</w:t>
      </w:r>
    </w:p>
    <w:p>
      <w:pPr>
        <w:pStyle w:val="Normal"/>
      </w:pPr>
      <w:r>
        <w:t xml:space="preserve">Derudover kan det være nødvendigt, at vi behandle beskyttelsesværdige og følsomme oplysninger, såsom:</w:t>
      </w:r>
    </w:p>
    <w:p>
      <w:pPr>
        <w:pStyle w:val="ListParagraph"/>
        <w:numPr>
          <w:ilvl w:val="0"/>
          <w:numId w:val="2"/>
        </w:numPr>
      </w:pPr>
      <w:r>
        <w:t xml:space="preserve">CPR-nummer</w:t>
      </w:r>
    </w:p>
    <w:p>
      <w:pPr>
        <w:pStyle w:val="ListParagraph"/>
        <w:numPr>
          <w:ilvl w:val="0"/>
          <w:numId w:val="2"/>
        </w:numPr>
      </w:pPr>
      <w:r>
        <w:t xml:space="preserve">Fagligt organisationsforhold</w:t>
      </w:r>
    </w:p>
    <w:p>
      <w:pPr>
        <w:pStyle w:val="ListParagraph"/>
        <w:numPr>
          <w:ilvl w:val="0"/>
          <w:numId w:val="2"/>
        </w:numPr>
      </w:pPr>
      <w:r>
        <w:t xml:space="preserve">Arbejds-, ansættelses- og uddannelsesmæssige oplysninger</w:t>
      </w:r>
    </w:p>
    <w:p>
      <w:pPr>
        <w:pStyle w:val="ListParagraph"/>
        <w:numPr>
          <w:ilvl w:val="0"/>
          <w:numId w:val="2"/>
        </w:numPr>
      </w:pPr>
      <w:r>
        <w:t xml:space="preserve">Indtægtsforhold, herunder løn, honorarer, sociale ydelser og pension</w:t>
      </w:r>
    </w:p>
    <w:p>
      <w:pPr>
        <w:pStyle w:val="ListParagraph"/>
        <w:numPr>
          <w:ilvl w:val="0"/>
          <w:numId w:val="2"/>
        </w:numPr>
      </w:pPr>
      <w:r>
        <w:t xml:space="preserve">Helbredsoplysninger, fx lægeerklæringer og journalmateriale</w:t>
      </w:r>
    </w:p>
    <w:p>
      <w:pPr>
        <w:pStyle w:val="Heading2"/>
      </w:pPr>
      <w:r>
        <w:t xml:space="preserve">Hvordan indhenter vi oplysninger om dig?</w:t>
      </w:r>
    </w:p>
    <w:p>
      <w:pPr>
        <w:pStyle w:val="Heading3"/>
      </w:pPr>
      <w:r>
        <w:t xml:space="preserve">Hvis du er den skadelidte:</w:t>
      </w:r>
    </w:p>
    <w:p>
      <w:pPr>
        <w:pStyle w:val="Normal"/>
      </w:pPr>
      <w:r>
        <w:t xml:space="preserve">Vi indhenter primært oplysninger direkte fra dig gennem samtaler, korrespondance og dokumenter, du fremsender. Derudover kan vi indhente supplerende oplysninger fra fx AES (Arbejdsmarkedets Erhvervssikring), Ankestyrelsen, din arbejdsgiver, vidner, sundhedsaktører og offentlige registre.</w:t>
      </w:r>
    </w:p>
    <w:p>
      <w:pPr>
        <w:pStyle w:val="Heading3"/>
      </w:pPr>
      <w:r>
        <w:t xml:space="preserve">Hvis du er tredjepart (fx vidne):</w:t>
      </w:r>
    </w:p>
    <w:p>
      <w:pPr>
        <w:pStyle w:val="Normal"/>
      </w:pPr>
      <w:r>
        <w:t xml:space="preserve">Vi vil sædvanligvis have modtaget oplysninger om dig fra den skadelidte. Hvis vi modtager oplysninger fra andre, stammer de typisk fra din fagforening, arbejdsgiver eller myndigheder, der har undersøgt skaden. Oplysningerne kan omfatte dit navn, kontaktoplysninger og forhold vedrørende tilskadekomsten. I særlige tilfælde kan vi også modtage oplysninger om dine ansættelses- og indtægtsforhold samt helbredsoplysninger, fx hvis du selv har været udsat for en arbejdsskade.</w:t>
      </w:r>
    </w:p>
    <w:p>
      <w:pPr>
        <w:pStyle w:val="Heading2"/>
      </w:pPr>
      <w:r>
        <w:t xml:space="preserve">Retsgrundlag for behandlingen</w:t>
      </w:r>
    </w:p>
    <w:p>
      <w:pPr>
        <w:pStyle w:val="Heading3"/>
      </w:pPr>
      <w:r>
        <w:t xml:space="preserve">Almindelige personoplysninger</w:t>
      </w:r>
    </w:p>
    <w:p>
      <w:pPr>
        <w:pStyle w:val="Normal"/>
      </w:pPr>
      <w:r>
        <w:t xml:space="preserve">Behandles efter artikel 6, stk. 1, litra f, om legitime interesser.</w:t>
      </w:r>
    </w:p>
    <w:p>
      <w:pPr>
        <w:pStyle w:val="Normal"/>
      </w:pPr>
      <w:r>
        <w:t xml:space="preserve">Vores legitime interesser er at rådgive, oplyse og føre arbejdsskadesager på vegne af tilskadekomne, herunder at korrespondere med myndigheder, arbejdsgivere, forsikringsselskaber, sundhedspersonale og domstole.</w:t>
      </w:r>
    </w:p>
    <w:p>
      <w:pPr>
        <w:pStyle w:val="Normal"/>
      </w:pPr>
      <w:r>
        <w:t xml:space="preserve">Henset til væsentligheden af at kunne varetage den skadelidtes interesser, når der er indtrådt en arbejdsskade, har vi en vidtrækkende adgang til at kunne indhente, behandle og videregive oplysninger. Du har dog altid ret til at gøre indsigelse mod behandlingen.</w:t>
      </w:r>
    </w:p>
    <w:p>
      <w:pPr>
        <w:pStyle w:val="Heading3"/>
      </w:pPr>
      <w:r>
        <w:t xml:space="preserve">Følsomme personoplysninger</w:t>
      </w:r>
    </w:p>
    <w:p>
      <w:pPr>
        <w:pStyle w:val="Normal"/>
      </w:pPr>
      <w:r>
        <w:t xml:space="preserve">I tillæg til artikel 6, stk. 1, litra f, behandles disse på grundlag af:</w:t>
      </w:r>
    </w:p>
    <w:p>
      <w:pPr>
        <w:pStyle w:val="ListParagraph"/>
        <w:numPr>
          <w:ilvl w:val="0"/>
          <w:numId w:val="2"/>
        </w:numPr>
      </w:pPr>
      <w:r>
        <w:t xml:space="preserve">Artikel 9, stk. 2, litra b (arbejds-, sundheds- og socialretlige forpligtelser og rettigheder)</w:t>
      </w:r>
    </w:p>
    <w:p>
      <w:pPr>
        <w:pStyle w:val="ListParagraph"/>
        <w:numPr>
          <w:ilvl w:val="0"/>
          <w:numId w:val="2"/>
        </w:numPr>
      </w:pPr>
      <w:r>
        <w:t xml:space="preserve">Artikel 9, stk. 2, litra d (varetagelse af foreningers legitime aktiviteter)</w:t>
      </w:r>
    </w:p>
    <w:p>
      <w:pPr>
        <w:pStyle w:val="ListParagraph"/>
        <w:numPr>
          <w:ilvl w:val="0"/>
          <w:numId w:val="2"/>
        </w:numPr>
      </w:pPr>
      <w:r>
        <w:t xml:space="preserve">Artikel 9, stk. 2, litra f (fastlæggelse, varetagelse eller forsvar af retskrav)</w:t>
      </w:r>
    </w:p>
    <w:p>
      <w:pPr>
        <w:pStyle w:val="Normal"/>
      </w:pPr>
      <w:r>
        <w:t xml:space="preserve">De ovennævnte bestemmelser suppleres af Databeskyttelseslovens § 7 (national regulering af behandling af følsomme oplysninger).</w:t>
      </w:r>
    </w:p>
    <w:p>
      <w:pPr>
        <w:pStyle w:val="Heading3"/>
      </w:pPr>
      <w:r>
        <w:t xml:space="preserve">CPR-nummer</w:t>
      </w:r>
    </w:p>
    <w:p>
      <w:pPr>
        <w:pStyle w:val="Normal"/>
      </w:pPr>
      <w:r>
        <w:t xml:space="preserve">Vi behandler CPR-nummer i det omfang, det er nødvendigt for sagens behandling og i overensstemmelse med databeskyttelseslovens § 11. Som privat organisation må vi behandle CPR-nummer, når én eller flere af følgende betingelser er opfyldt:</w:t>
      </w:r>
    </w:p>
    <w:p>
      <w:pPr>
        <w:pStyle w:val="ListParagraph"/>
        <w:numPr>
          <w:ilvl w:val="0"/>
          <w:numId w:val="2"/>
        </w:numPr>
      </w:pPr>
      <w:r>
        <w:t xml:space="preserve">Det følger af lovgivningen, jf. § 11, stk. 2, nr. 1, herunder når offentlige myndigheder kræver CPR-nummer til entydig identifikation i forbindelse med arbejdsskadesager.</w:t>
      </w:r>
    </w:p>
    <w:p>
      <w:pPr>
        <w:pStyle w:val="ListParagraph"/>
        <w:numPr>
          <w:ilvl w:val="0"/>
          <w:numId w:val="2"/>
        </w:numPr>
      </w:pPr>
      <w:r>
        <w:t xml:space="preserve">Du har givet samtykke, jf. § 11, stk. 2, nr. 2.</w:t>
      </w:r>
    </w:p>
    <w:p>
      <w:pPr>
        <w:pStyle w:val="ListParagraph"/>
        <w:numPr>
          <w:ilvl w:val="0"/>
          <w:numId w:val="2"/>
        </w:numPr>
      </w:pPr>
      <w:r>
        <w:t xml:space="preserve">Videregivelse af CPR-nummer er et naturligt led i den normale drift og er af afgørende betydning for at sikre entydig identifikation af dig, eller når videregivelsen kræves af en offentlig myndighed, jf. § 11, stk. 2, nr. 3.</w:t>
      </w:r>
    </w:p>
    <w:p>
      <w:pPr>
        <w:pStyle w:val="ListParagraph"/>
        <w:numPr>
          <w:ilvl w:val="0"/>
          <w:numId w:val="2"/>
        </w:numPr>
      </w:pPr>
      <w:r>
        <w:t xml:space="preserve">Behandlingen sker, når betingelserne i databeskyttelseslovens § 7 er opfyldt, jf. § 11, stk. 2, nr. 4.</w:t>
      </w:r>
    </w:p>
    <w:p>
      <w:pPr>
        <w:pStyle w:val="Heading2"/>
      </w:pPr>
      <w:r>
        <w:t xml:space="preserve">Videregivelse og modtagere af oplysninger</w:t>
      </w:r>
    </w:p>
    <w:p>
      <w:pPr>
        <w:pStyle w:val="Normal"/>
      </w:pPr>
      <w:r>
        <w:t xml:space="preserve">Som led i sagsbehandlingen kan vi videregive oplysninger til relevante myndigheder og aktører, herunder:</w:t>
      </w:r>
    </w:p>
    <w:p>
      <w:pPr>
        <w:pStyle w:val="ListParagraph"/>
        <w:numPr>
          <w:ilvl w:val="0"/>
          <w:numId w:val="2"/>
        </w:numPr>
      </w:pPr>
      <w:r>
        <w:t xml:space="preserve">AES (Arbejdsmarkedets Erhvervssikring) og Ankestyrelsen til brug for administrativ myndighedsudøvelse</w:t>
      </w:r>
    </w:p>
    <w:p>
      <w:pPr>
        <w:pStyle w:val="ListParagraph"/>
        <w:numPr>
          <w:ilvl w:val="0"/>
          <w:numId w:val="2"/>
        </w:numPr>
      </w:pPr>
      <w:r>
        <w:t xml:space="preserve">Sundhedsaktører (læger, behandlere, speciallæger, hospitaler) med henblik på indhentelse af lægeligt materiale og speciallægeerklæringer</w:t>
      </w:r>
    </w:p>
    <w:p>
      <w:pPr>
        <w:pStyle w:val="ListParagraph"/>
        <w:numPr>
          <w:ilvl w:val="0"/>
          <w:numId w:val="2"/>
        </w:numPr>
      </w:pPr>
      <w:r>
        <w:t xml:space="preserve">Forsikringsselskaber, advokater og arbejdsgivere i forbindelse med forfølgelse af berettigede krav</w:t>
      </w:r>
    </w:p>
    <w:p>
      <w:pPr>
        <w:pStyle w:val="ListParagraph"/>
        <w:numPr>
          <w:ilvl w:val="0"/>
          <w:numId w:val="2"/>
        </w:numPr>
      </w:pPr>
      <w:r>
        <w:t xml:space="preserve">Domstolene og andre offentlige myndigheder i forbindelse med retssager</w:t>
      </w:r>
    </w:p>
    <w:p>
      <w:pPr>
        <w:pStyle w:val="ListParagraph"/>
        <w:numPr>
          <w:ilvl w:val="0"/>
          <w:numId w:val="2"/>
        </w:numPr>
      </w:pPr>
      <w:r>
        <w:t xml:space="preserve">Databehandlere (fx IT-leverandører), der behandler oplysninger på vores vegne under databehandleraftale</w:t>
      </w:r>
    </w:p>
    <w:p>
      <w:pPr>
        <w:pStyle w:val="Normal"/>
      </w:pPr>
      <w:r>
        <w:t xml:space="preserve">Videregivelse sker altid inden for rammerne af databeskyttelsesforordningen og databeskyttelsesloven.</w:t>
      </w:r>
    </w:p>
    <w:p>
      <w:pPr>
        <w:pStyle w:val="Normal"/>
      </w:pPr>
      <w:r>
        <w:t xml:space="preserve">Videregivelser til eksterne parter (fx myndigheder, modparter og domstole) sker på grundlag af artikel 9, stk. 2, litra b eller f.</w:t>
      </w:r>
    </w:p>
    <w:p>
      <w:pPr>
        <w:pStyle w:val="Heading2"/>
      </w:pPr>
      <w:r>
        <w:t xml:space="preserve">Overførsel til lande uden for EU/EØS</w:t>
      </w:r>
    </w:p>
    <w:p>
      <w:pPr>
        <w:pStyle w:val="Normal"/>
      </w:pPr>
      <w:r>
        <w:t xml:space="preserve">Dine personoplysninger behandles og opbevares i Danmark og overføres ikke til lande uden for EU/EØS.</w:t>
      </w:r>
    </w:p>
    <w:p>
      <w:pPr>
        <w:pStyle w:val="Heading2"/>
      </w:pPr>
      <w:r>
        <w:t xml:space="preserve">Opbevaring af oplysninger</w:t>
      </w:r>
    </w:p>
    <w:p>
      <w:pPr>
        <w:pStyle w:val="Normal"/>
      </w:pPr>
      <w:r>
        <w:t xml:space="preserve">Dine oplysninger opbevares som udgangspunkt i 10 år efter, at sagen er endeligt afsluttet, dvs. når alle klage- og ankefrister er udløbet, eller når en endelig dom eller et forlig er indgået.</w:t>
      </w:r>
    </w:p>
    <w:p>
      <w:pPr>
        <w:pStyle w:val="Normal"/>
      </w:pPr>
      <w:r>
        <w:t xml:space="preserve">Perioden beror på en afvejning mellem behovet for at kunne genoptage sager ved senere tilkomne forværringer og nye krav, sammenholdt med de lovbestemte frister for genoptagelse og forældelse i arbejdsskadesager.</w:t>
      </w:r>
    </w:p>
    <w:p>
      <w:pPr>
        <w:pStyle w:val="Normal"/>
      </w:pPr>
      <w:r>
        <w:t xml:space="preserve">Efter en konkret vurdering kan oplysninger blive slettet tidligere eller opbevaret længere, jf. artikel 5, stk. 1, litra e, herunder op til 30 år efter skadens indtræden, hvis der er saglige grunde hertil.</w:t>
      </w:r>
    </w:p>
    <w:p>
      <w:pPr>
        <w:pStyle w:val="Heading2"/>
      </w:pPr>
      <w:r>
        <w:t xml:space="preserve">Tilbagetrækning af samtykke</w:t>
      </w:r>
    </w:p>
    <w:p>
      <w:pPr>
        <w:pStyle w:val="Normal"/>
      </w:pPr>
      <w:r>
        <w:t xml:space="preserve">Når vores behandling af dine oplysninger beror på dit samtykke, kan du til enhver tid trække dette samtykke tilbage ved at kontakte os.</w:t>
      </w:r>
    </w:p>
    <w:p>
      <w:pPr>
        <w:pStyle w:val="Normal"/>
      </w:pPr>
      <w:r>
        <w:t xml:space="preserve">Tilbagetrækningen påvirker ikke lovligheden af den behandling, der allerede har fundet sted.</w:t>
      </w:r>
    </w:p>
    <w:p>
      <w:pPr>
        <w:pStyle w:val="Heading2"/>
      </w:pPr>
      <w:r>
        <w:t xml:space="preserve">Dine rettigheder</w:t>
      </w:r>
    </w:p>
    <w:p>
      <w:pPr>
        <w:pStyle w:val="Normal"/>
      </w:pPr>
      <w:r>
        <w:t xml:space="preserve">Du har efter databeskyttelsesforordningen en række rettigheder i forhold til vores behandling af oplysninger om dig:</w:t>
      </w:r>
    </w:p>
    <w:p>
      <w:pPr>
        <w:pStyle w:val="ListParagraph"/>
        <w:numPr>
          <w:ilvl w:val="0"/>
          <w:numId w:val="2"/>
        </w:numPr>
      </w:pPr>
      <w:r/>
      <w:r>
        <w:rPr>
          <w:b/>
          <w:bCs/>
        </w:rPr>
        <w:t xml:space="preserve">Indsigt</w:t>
      </w:r>
      <w:r>
        <w:t xml:space="preserve"> – du kan få indsigt i de oplysninger, vi behandler om dig.</w:t>
      </w:r>
    </w:p>
    <w:p>
      <w:pPr>
        <w:pStyle w:val="ListParagraph"/>
        <w:numPr>
          <w:ilvl w:val="0"/>
          <w:numId w:val="2"/>
        </w:numPr>
      </w:pPr>
      <w:r/>
      <w:r>
        <w:rPr>
          <w:b/>
          <w:bCs/>
        </w:rPr>
        <w:t xml:space="preserve">Berigtigelse</w:t>
      </w:r>
      <w:r>
        <w:t xml:space="preserve"> – du kan få rettet urigtige eller mangelfulde oplysninger.</w:t>
      </w:r>
    </w:p>
    <w:p>
      <w:pPr>
        <w:pStyle w:val="ListParagraph"/>
        <w:numPr>
          <w:ilvl w:val="0"/>
          <w:numId w:val="2"/>
        </w:numPr>
      </w:pPr>
      <w:r/>
      <w:r>
        <w:rPr>
          <w:b/>
          <w:bCs/>
        </w:rPr>
        <w:t xml:space="preserve">Sletning</w:t>
      </w:r>
      <w:r>
        <w:t xml:space="preserve"> – du kan i visse tilfælde få oplysninger om dig slettet, fx hvis oplysningerne ikke længere er nødvendige til det formål, de blev indsamlet til.</w:t>
      </w:r>
    </w:p>
    <w:p>
      <w:pPr>
        <w:pStyle w:val="ListParagraph"/>
        <w:numPr>
          <w:ilvl w:val="0"/>
          <w:numId w:val="2"/>
        </w:numPr>
      </w:pPr>
      <w:r/>
      <w:r>
        <w:rPr>
          <w:b/>
          <w:bCs/>
        </w:rPr>
        <w:t xml:space="preserve">Begrænsning af behandling</w:t>
      </w:r>
      <w:r>
        <w:t xml:space="preserve"> – du kan i særlige tilfælde få begrænset behandlingen af oplysninger, fx hvis du bestrider rigtigheden af oplysningerne.</w:t>
      </w:r>
    </w:p>
    <w:p>
      <w:pPr>
        <w:pStyle w:val="ListParagraph"/>
        <w:numPr>
          <w:ilvl w:val="0"/>
          <w:numId w:val="2"/>
        </w:numPr>
      </w:pPr>
      <w:r/>
      <w:r>
        <w:rPr>
          <w:b/>
          <w:bCs/>
        </w:rPr>
        <w:t xml:space="preserve">Indsigelse</w:t>
      </w:r>
      <w:r>
        <w:t xml:space="preserve"> – du kan gøre indsigelse mod vores behandling, når den sker efter artikel 6, stk. 1, litra e eller f, om varetagelse af berettigede og legitime interesser. Vi vil herefter ophøre med at behandle dine oplysninger, medmindre vi kan påvise vægtige legitime grunde til at fortsætte behandlingen, som overstiger dine interesser, rettigheder og frihedsrettigheder, eller hvis behandlingen er nødvendig for, at vi kan fastlægge, gøre gældende eller forsvare et retskrav.</w:t>
      </w:r>
    </w:p>
    <w:p>
      <w:pPr>
        <w:pStyle w:val="ListParagraph"/>
        <w:numPr>
          <w:ilvl w:val="0"/>
          <w:numId w:val="2"/>
        </w:numPr>
      </w:pPr>
      <w:r/>
      <w:r>
        <w:rPr>
          <w:b/>
          <w:bCs/>
        </w:rPr>
        <w:t xml:space="preserve">Dataportabilitet</w:t>
      </w:r>
      <w:r>
        <w:t xml:space="preserve"> – du kan i visse tilfælde få dine oplysninger udleveret i et struktureret, maskinlæsbart format eller få dem overført til en anden dataansvarlig. Dette gælder navnlig, når behandlingen er baseret på samtykke eller kontrakt og foregår automatisk.</w:t>
      </w:r>
    </w:p>
    <w:p>
      <w:pPr>
        <w:pStyle w:val="Normal"/>
      </w:pPr>
      <w:r>
        <w:t xml:space="preserve">Du kan læse mere om dine rettigheder i Datatilsynets vejledning på www.datatilsynet.dk.</w:t>
      </w:r>
    </w:p>
    <w:p>
      <w:pPr>
        <w:pStyle w:val="Heading2"/>
      </w:pPr>
      <w:r>
        <w:t xml:space="preserve">Automatiske afgørelser</w:t>
      </w:r>
    </w:p>
    <w:p>
      <w:pPr>
        <w:pStyle w:val="Normal"/>
      </w:pPr>
      <w:r>
        <w:t xml:space="preserve">Vi træffer ikke afgørelser om dig, som er baseret på automatisk behandling, herunder heller ikke profilering.</w:t>
      </w:r>
    </w:p>
    <w:p>
      <w:pPr>
        <w:pStyle w:val="Heading2"/>
      </w:pPr>
      <w:r>
        <w:t xml:space="preserve">Dataansvarlig</w:t>
      </w:r>
    </w:p>
    <w:p>
      <w:pPr>
        <w:pStyle w:val="Normal"/>
      </w:pPr>
      <w:r>
        <w:t xml:space="preserve">[Forbund navn]</w:t>
      </w:r>
      <w:r>
        <w:br/>
      </w:r>
      <w:r>
        <w:t xml:space="preserve">[Adresse]</w:t>
      </w:r>
      <w:r>
        <w:br/>
      </w:r>
      <w:r>
        <w:t xml:space="preserve">[Postnr.]</w:t>
      </w:r>
      <w:r>
        <w:t xml:space="preserve"> </w:t>
      </w:r>
      <w:r>
        <w:t xml:space="preserve">[Bynavn]</w:t>
      </w:r>
      <w:r>
        <w:br/>
      </w:r>
      <w:r>
        <w:t xml:space="preserve">Telefon: </w:t>
      </w:r>
      <w:r>
        <w:t xml:space="preserve">[Tlf. nr.]</w:t>
      </w:r>
      <w:r>
        <w:br/>
      </w:r>
      <w:r>
        <w:t xml:space="preserve">E-mail: </w:t>
      </w:r>
      <w:r>
        <w:t xml:space="preserve">[Mail]</w:t>
      </w:r>
      <w:r>
        <w:br/>
      </w:r>
      <w:r>
        <w:t xml:space="preserve">Sikker post: </w:t>
      </w:r>
      <w:r>
        <w:t xml:space="preserve">[Sikker mail]</w:t>
      </w:r>
    </w:p>
    <w:p>
      <w:pPr>
        <w:pStyle w:val="Normal"/>
      </w:pPr>
      <w:r>
        <w:t xml:space="preserve">Du er altid velkommen til at kontakte os, hvis du har spørgsmål til vores behandling af dine personoplysninger.</w:t>
      </w:r>
    </w:p>
    <w:p>
      <w:pPr>
        <w:pStyle w:val="Heading2"/>
      </w:pPr>
      <w:r>
        <w:t xml:space="preserve">Klage til Datatilsynet</w:t>
      </w:r>
    </w:p>
    <w:p>
      <w:pPr>
        <w:pStyle w:val="Normal"/>
      </w:pPr>
      <w:r>
        <w:t xml:space="preserve">Hvis du ønsker at klage over vores behandling af dine personoplysninger, kan du kontakte:</w:t>
      </w:r>
    </w:p>
    <w:p>
      <w:pPr>
        <w:pStyle w:val="Normal"/>
      </w:pPr>
      <w:r>
        <w:t xml:space="preserve">Datatilsynet</w:t>
      </w:r>
      <w:r>
        <w:br/>
      </w:r>
      <w:r>
        <w:t xml:space="preserve">Carl Jacobsens Vej 35</w:t>
      </w:r>
      <w:r>
        <w:br/>
      </w:r>
      <w:r>
        <w:t xml:space="preserve">2500 Valby</w:t>
      </w:r>
      <w:r>
        <w:br/>
      </w:r>
      <w:r>
        <w:t xml:space="preserve">Telefon: 33 19 32 00</w:t>
      </w:r>
      <w:r>
        <w:br/>
      </w:r>
      <w:r>
        <w:t xml:space="preserve">E-mail: dt@datatilsynet.dk</w:t>
      </w:r>
    </w:p>
    <w:sectPr>
      <w:footerReference w:type="default" r:id="rId6"/>
      <w:footerReference w:type="first" r:id="rId7"/>
      <w:pgSz w:w="11906" w:h="16838" w:orient="portrait"/>
      <w:pgMar w:top="1701" w:right="1418" w:bottom="1701" w:left="1418" w:header="567"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rPr>
        <w:sz w:val="18"/>
        <w:szCs w:val="18"/>
        <w:rFonts w:ascii="Tahoma" w:cs="Tahoma" w:eastAsia="Tahoma" w:hAnsi="Tahoma"/>
      </w:rPr>
      <w:t xml:space="preserve">Side </w:t>
    </w:r>
    <w:fldSimple w:instr="PAGE"/>
    <w:r>
      <w:rPr>
        <w:sz w:val="18"/>
        <w:szCs w:val="18"/>
        <w:rFonts w:ascii="Tahoma" w:cs="Tahoma" w:eastAsia="Tahoma" w:hAnsi="Tahoma"/>
      </w:rPr>
      <w:t xml:space="preserve"> af </w:t>
    </w:r>
    <w:fldSimple w:instr="NUMPAGE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fldChar w:fldCharType="begin"/>
    </w:r>
    <w:r>
      <w:instrText xml:space="preserve"> IF </w:instrText>
    </w:r>
    <w:r>
      <w:fldChar w:fldCharType="begin"/>
    </w:r>
    <w:r>
      <w:instrText xml:space="preserve"> NUMPAGES </w:instrText>
    </w:r>
    <w:r>
      <w:fldChar w:fldCharType="separate"/>
    </w:r>
    <w:r>
      <w:t>1</w:t>
    </w:r>
    <w:r>
      <w:fldChar w:fldCharType="end"/>
    </w:r>
    <w:r>
      <w:instrText xml:space="preserve"> &gt; 1 "Side </w:instrText>
    </w:r>
    <w:r>
      <w:fldChar w:fldCharType="begin"/>
    </w:r>
    <w:r>
      <w:instrText xml:space="preserve"> PAGE </w:instrText>
    </w:r>
    <w:r>
      <w:fldChar w:fldCharType="separate"/>
    </w:r>
    <w:r>
      <w:t>1</w:t>
    </w:r>
    <w:r>
      <w:fldChar w:fldCharType="end"/>
    </w:r>
    <w:r>
      <w:instrText xml:space="preserve"> af </w:instrText>
    </w:r>
    <w:r>
      <w:fldChar w:fldCharType="begin"/>
    </w:r>
    <w:r>
      <w:instrText xml:space="preserve"> NUMPAGES </w:instrText>
    </w:r>
    <w:r>
      <w:fldChar w:fldCharType="separate"/>
    </w:r>
    <w:r>
      <w:t>1</w:t>
    </w:r>
    <w:r>
      <w:fldChar w:fldCharType="end"/>
    </w:r>
    <w:r>
      <w:instrText xml:space="preserve"> " "" </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09" w:hanging="425"/>
      </w:pPr>
    </w:lvl>
  </w:abstractNum>
  <w:abstractNum w:abstractNumId="3" w15:restartNumberingAfterBreak="0">
    <w:multiLevelType w:val="hybridMultilevel"/>
    <w:lvl w:ilvl="0" w15:tentative="1">
      <w:start w:val="1"/>
      <w:numFmt w:val="decimal"/>
      <w:lvlText w:val="%1."/>
      <w:lvlJc w:val="left"/>
      <w:pPr>
        <w:ind w:left="709" w:hanging="425"/>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zoom w:percent="100"/>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000000"/>
        <w:sz w:val="20"/>
        <w:szCs w:val="20"/>
        <w:rFonts w:ascii="Tahoma" w:cs="Tahoma" w:eastAsia="Tahoma" w:hAnsi="Tahoma"/>
      </w:rPr>
    </w:rPrDefault>
    <w:pPrDefault>
      <w:pPr>
        <w:spacing w:before="240" w:after="240" w:line="280" w:lineRule="atLeast"/>
      </w:pPr>
    </w:pPrDefault>
  </w:docDefaults>
  <w:latentStyles w:defLockedState="0" w:defUIPriority="99" w:defSemiHidden="1" w:defUnhideWhenUsed="0" w:defQFormat="0" w:count="376">
    <w:lsdException w:name="Normal" w:uiPriority="1" w:semiHidden="0" w:unhideWhenUsed="0" w:qFormat="1"/>
    <w:lsdException w:name="No Spacing" w:uiPriority="2" w:semiHidden="0" w:unhideWhenUsed="0" w:qFormat="1"/>
    <w:lsdException w:name="Title" w:uiPriority="3" w:semiHidden="0" w:unhideWhenUsed="0" w:qFormat="1"/>
    <w:lsdException w:name="heading 1" w:uiPriority="4" w:semiHidden="0" w:unhideWhenUsed="0" w:qFormat="1"/>
    <w:lsdException w:name="heading 2" w:uiPriority="5" w:semiHidden="0" w:unhideWhenUsed="0" w:qFormat="1"/>
    <w:lsdException w:name="heading 3" w:uiPriority="6" w:semiHidden="0" w:unhideWhenUsed="0" w:qFormat="1"/>
    <w:lsdException w:name="Quote" w:uiPriority="7" w:semiHidden="0" w:unhideWhenUsed="0" w:qFormat="1"/>
    <w:lsdException w:name="List Paragraph" w:uiPriority="8" w:semiHidden="0" w:unhideWhenUsed="0" w:qFormat="1"/>
  </w:latentStyles>
  <w:style w:type="paragraph" w:styleId="Normal">
    <w:name w:val="Normal"/>
    <w:next w:val="Normal"/>
    <w:qFormat/>
    <w:pPr>
      <w:spacing w:before="240" w:after="240" w:line="280" w:lineRule="atLeast"/>
    </w:pPr>
    <w:rPr>
      <w:sz w:val="20"/>
      <w:szCs w:val="20"/>
      <w:rFonts w:ascii="Tahoma" w:cs="Tahoma" w:eastAsia="Tahoma" w:hAnsi="Tahoma"/>
    </w:rPr>
    <w:uiPriority w:val="1"/>
  </w:style>
  <w:style w:type="paragraph" w:styleId="NoSpacing">
    <w:name w:val="Ingen afstand"/>
    <w:basedOn w:val="Normal"/>
    <w:next w:val="NoSpacing"/>
    <w:qFormat/>
    <w:pPr>
      <w:spacing w:before="0" w:after="0" w:line="280" w:lineRule="atLeast"/>
    </w:pPr>
    <w:rPr>
      <w:sz w:val="20"/>
      <w:szCs w:val="20"/>
      <w:rFonts w:ascii="Tahoma" w:cs="Tahoma" w:eastAsia="Tahoma" w:hAnsi="Tahoma"/>
    </w:rPr>
    <w:uiPriority w:val="2"/>
  </w:style>
  <w:style w:type="paragraph" w:styleId="Title">
    <w:name w:val="Titel"/>
    <w:basedOn w:val="Normal"/>
    <w:next w:val="Normal"/>
    <w:qFormat/>
    <w:pPr>
      <w:keepNext/>
      <w:spacing w:before="720" w:after="480" w:line="280" w:lineRule="atLeast"/>
    </w:pPr>
    <w:rPr>
      <w:b/>
      <w:bCs/>
      <w:color w:val="000000"/>
      <w:sz w:val="26"/>
      <w:szCs w:val="26"/>
      <w:rFonts w:ascii="Tahoma" w:cs="Tahoma" w:eastAsia="Tahoma" w:hAnsi="Tahoma"/>
    </w:rPr>
    <w:uiPriority w:val="3"/>
  </w:style>
  <w:style w:type="paragraph" w:styleId="Heading1">
    <w:name w:val="Overskrift 1"/>
    <w:basedOn w:val="Normal"/>
    <w:next w:val="Normal"/>
    <w:qFormat/>
    <w:pPr>
      <w:keepNext/>
      <w:spacing w:before="480" w:after="240" w:line="280" w:lineRule="atLeast"/>
    </w:pPr>
    <w:rPr>
      <w:b/>
      <w:bCs/>
      <w:color w:val="000000"/>
      <w:sz w:val="20"/>
      <w:szCs w:val="20"/>
      <w:caps/>
      <w:rFonts w:ascii="Tahoma" w:cs="Tahoma" w:eastAsia="Tahoma" w:hAnsi="Tahoma"/>
      <w:spacing w:val="10"/>
    </w:rPr>
    <w:uiPriority w:val="4"/>
  </w:style>
  <w:style w:type="paragraph" w:styleId="Heading2">
    <w:name w:val="Overskrift 2"/>
    <w:basedOn w:val="Normal"/>
    <w:next w:val="Normal"/>
    <w:qFormat/>
    <w:pPr>
      <w:keepNext/>
      <w:spacing w:before="360" w:after="240" w:line="280" w:lineRule="atLeast"/>
    </w:pPr>
    <w:rPr>
      <w:b/>
      <w:bCs/>
      <w:color w:val="000000"/>
      <w:sz w:val="20"/>
      <w:szCs w:val="20"/>
      <w:rFonts w:ascii="Tahoma" w:cs="Tahoma" w:eastAsia="Tahoma" w:hAnsi="Tahoma"/>
    </w:rPr>
    <w:uiPriority w:val="5"/>
  </w:style>
  <w:style w:type="paragraph" w:styleId="Heading3">
    <w:name w:val="Overskrift 3"/>
    <w:basedOn w:val="Normal"/>
    <w:next w:val="Normal"/>
    <w:qFormat/>
    <w:pPr>
      <w:keepNext/>
      <w:spacing w:before="360" w:after="120" w:line="280" w:lineRule="atLeast"/>
    </w:pPr>
    <w:rPr>
      <w:b w:val="false"/>
      <w:bCs w:val="false"/>
      <w:u w:val="single"/>
      <w:color w:val="000000"/>
      <w:sz w:val="20"/>
      <w:szCs w:val="20"/>
      <w:rFonts w:ascii="Tahoma" w:cs="Tahoma" w:eastAsia="Tahoma" w:hAnsi="Tahoma"/>
    </w:rPr>
    <w:uiPriority w:val="6"/>
  </w:style>
  <w:style w:type="paragraph" w:styleId="Quote">
    <w:name w:val="Citat"/>
    <w:basedOn w:val="Normal"/>
    <w:next w:val="Normal"/>
    <w:qFormat/>
    <w:pPr>
      <w:spacing w:before="240" w:after="240" w:line="280" w:lineRule="atLeast"/>
      <w:ind w:left="567" w:right="851"/>
    </w:pPr>
    <w:rPr>
      <w:i/>
      <w:iCs/>
      <w:sz w:val="19"/>
      <w:szCs w:val="19"/>
      <w:rFonts w:ascii="Tahoma" w:cs="Tahoma" w:eastAsia="Tahoma" w:hAnsi="Tahoma"/>
    </w:rPr>
    <w:uiPriority w:val="7"/>
  </w:style>
  <w:style w:type="paragraph" w:styleId="ListParagraph">
    <w:name w:val="Listeafsnit"/>
    <w:basedOn w:val="Normal"/>
    <w:qFormat/>
    <w:pPr>
      <w:spacing w:before="120" w:after="120" w:line="280" w:lineRule="atLeast"/>
      <w:ind w:left="709" w:hanging="425"/>
    </w:pPr>
    <w:rPr>
      <w:sz w:val="20"/>
      <w:szCs w:val="20"/>
      <w:rFonts w:ascii="Tahoma" w:cs="Tahoma" w:eastAsia="Tahoma" w:hAnsi="Tahoma"/>
    </w:rPr>
    <w:uiPriority w:val="8"/>
  </w:style>
  <w:style w:type="paragraph" w:styleId="Beregning">
    <w:name w:val="Beregning"/>
    <w:basedOn w:val="Normal"/>
    <w:next w:val="Beregning"/>
    <w:qFormat/>
    <w:pPr>
      <w:tabs>
        <w:tab w:val="right" w:pos="8222"/>
      </w:tabs>
      <w:spacing w:before="120" w:after="120" w:line="280" w:lineRule="atLeast"/>
      <w:ind w:left="567" w:right="851"/>
    </w:pPr>
    <w:rPr>
      <w:sz w:val="20"/>
      <w:szCs w:val="20"/>
      <w:rFonts w:ascii="Tahoma" w:cs="Tahoma" w:eastAsia="Tahoma" w:hAnsi="Tahoma"/>
    </w:rPr>
    <w:uiPriority w:val="9"/>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GDPR-orientering</dc:title>
  <dc:subject>Arbejdsskade</dc:subject>
  <dc:creator>MinParadigmesamling.dk</dc:creator>
  <cp:lastModifiedBy>MinParadigmesamling.dk</cp:lastModifiedBy>
  <cp:revision>1</cp:revision>
  <dcterms:created xsi:type="dcterms:W3CDTF">2026-07-02T20:34:54.639Z</dcterms:created>
  <dcterms:modified xsi:type="dcterms:W3CDTF">2026-07-02T20:34:54.639Z</dcterms:modified>
</cp:coreProperties>
</file>

<file path=docProps/custom.xml><?xml version="1.0" encoding="utf-8"?>
<Properties xmlns="http://schemas.openxmlformats.org/officeDocument/2006/custom-properties" xmlns:vt="http://schemas.openxmlformats.org/officeDocument/2006/docPropsVTypes"/>
</file>