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Processkrift </w:t>
      </w:r>
      <w:r>
        <w:t xml:space="preserve">[Nummer]</w:t>
      </w:r>
    </w:p>
    <w:p>
      <w:pPr>
        <w:pStyle w:val="Normal"/>
        <w:framePr w:anchorLock="true" w:w="2835" w:h="1134" w:x="7655" w:y="2041" w:hAnchor="page" w:vAnchor="page" w:wrap="none"/>
        <w:spacing w:before="120" w:after="120"/>
        <w:jc w:val="right"/>
      </w:pPr>
      <w:r>
        <w:rPr>
          <w:color w:val="808080"/>
          <w:sz w:val="18"/>
          <w:szCs w:val="18"/>
        </w:rPr>
        <w:t xml:space="preserve">Sagsnr. </w:t>
      </w:r>
      <w:r>
        <w:rPr>
          <w:color w:val="808080"/>
          <w:sz w:val="18"/>
          <w:szCs w:val="18"/>
        </w:rPr>
        <w:t xml:space="preserve">[Sagsnr.]</w:t>
      </w:r>
    </w:p>
    <w:p>
      <w:pPr>
        <w:pStyle w:val="Normal"/>
        <w:framePr w:anchorLock="true" w:w="2835" w:h="1134" w:x="7655" w:y="2041" w:hAnchor="page" w:vAnchor="page" w:wrap="none"/>
        <w:spacing w:before="120" w:after="120"/>
        <w:jc w:val="right"/>
      </w:pPr>
      <w:r>
        <w:rPr>
          <w:color w:val="808080"/>
          <w:sz w:val="18"/>
          <w:szCs w:val="18"/>
        </w:rPr>
        <w:t xml:space="preserve">[Dato]</w:t>
      </w:r>
    </w:p>
    <w:p>
      <w:pPr>
        <w:pStyle w:val="Normal"/>
      </w:pPr>
      <w:r>
        <w:t xml:space="preserve">I sag </w:t>
      </w:r>
      <w:r>
        <w:t xml:space="preserve">[BS-nr.]</w:t>
      </w:r>
    </w:p>
    <w:p>
      <w:pPr>
        <w:pStyle w:val="NoSpacing"/>
      </w:pPr>
      <w:r>
        <w:t xml:space="preserve">[Forbund]</w:t>
      </w:r>
    </w:p>
    <w:p>
      <w:pPr>
        <w:pStyle w:val="NoSpacing"/>
      </w:pPr>
      <w:r>
        <w:t xml:space="preserve">som mandatar for</w:t>
      </w:r>
    </w:p>
    <w:p>
      <w:pPr>
        <w:pStyle w:val="NoSpacing"/>
      </w:pPr>
      <w:r/>
      <w:r>
        <w:rPr>
          <w:b/>
          <w:bCs/>
        </w:rPr>
        <w:t xml:space="preserve">[Medlem navn]</w:t>
      </w:r>
      <w:r/>
    </w:p>
    <w:p>
      <w:pPr>
        <w:pStyle w:val="NoSpacing"/>
      </w:pPr>
      <w:r>
        <w:t xml:space="preserve">[Medlem adresse]</w:t>
      </w:r>
    </w:p>
    <w:p>
      <w:pPr>
        <w:pStyle w:val="NoSpacing"/>
      </w:pPr>
      <w:r>
        <w:t xml:space="preserve">[Medlem postnr.]</w:t>
      </w:r>
      <w:r>
        <w:t xml:space="preserve"> </w:t>
      </w:r>
      <w:r>
        <w:t xml:space="preserve">[Medlem by]</w:t>
      </w:r>
    </w:p>
    <w:p>
      <w:pPr>
        <w:pStyle w:val="NoSpacing"/>
      </w:pPr>
      <w:r>
        <w:rPr>
          <w:i/>
          <w:iCs/>
        </w:rPr>
        <w:t xml:space="preserve">(advokat </w:t>
      </w:r>
      <w:r>
        <w:rPr>
          <w:i/>
          <w:iCs/>
        </w:rPr>
        <w:t xml:space="preserve">[advokat navn]</w:t>
      </w:r>
      <w:r>
        <w:rPr>
          <w:i/>
          <w:iCs/>
        </w:rPr>
        <w:t xml:space="preserve">)</w:t>
      </w:r>
    </w:p>
    <w:p>
      <w:pPr>
        <w:pStyle w:val="NoSpacing"/>
      </w:pPr>
    </w:p>
    <w:p>
      <w:pPr>
        <w:pStyle w:val="NoSpacing"/>
      </w:pPr>
      <w:r>
        <w:t xml:space="preserve">mod</w:t>
      </w:r>
    </w:p>
    <w:p>
      <w:pPr>
        <w:pStyle w:val="NoSpacing"/>
      </w:pPr>
    </w:p>
    <w:p>
      <w:pPr>
        <w:pStyle w:val="NoSpacing"/>
      </w:pPr>
      <w:r/>
      <w:r>
        <w:rPr>
          <w:b/>
          <w:bCs/>
        </w:rPr>
        <w:t xml:space="preserve">[Modpart navn]</w:t>
      </w:r>
      <w:r/>
    </w:p>
    <w:p>
      <w:pPr>
        <w:pStyle w:val="NoSpacing"/>
      </w:pPr>
      <w:r>
        <w:t xml:space="preserve">CVR-nr.: </w:t>
      </w:r>
      <w:r>
        <w:t xml:space="preserve">[Modpart CVR-nr.]</w:t>
      </w:r>
    </w:p>
    <w:p>
      <w:pPr>
        <w:pStyle w:val="NoSpacing"/>
      </w:pPr>
      <w:r>
        <w:t xml:space="preserve">[Modpart adresse]</w:t>
      </w:r>
    </w:p>
    <w:p>
      <w:pPr>
        <w:pStyle w:val="NoSpacing"/>
      </w:pPr>
      <w:r>
        <w:t xml:space="preserve">[Modpart postnr.]</w:t>
      </w:r>
      <w:r>
        <w:t xml:space="preserve"> </w:t>
      </w:r>
      <w:r>
        <w:t xml:space="preserve">[Modpart by]</w:t>
      </w:r>
    </w:p>
    <w:p>
      <w:pPr>
        <w:pStyle w:val="NoSpacing"/>
      </w:pPr>
      <w:r>
        <w:rPr>
          <w:i/>
          <w:iCs/>
        </w:rPr>
        <w:t xml:space="preserve">(advokat </w:t>
      </w:r>
      <w:r>
        <w:rPr>
          <w:i/>
          <w:iCs/>
        </w:rPr>
        <w:t xml:space="preserve">[modpart advokat navn]</w:t>
      </w:r>
      <w:r>
        <w:rPr>
          <w:i/>
          <w:iCs/>
        </w:rPr>
        <w:t xml:space="preserve">)</w:t>
      </w:r>
    </w:p>
    <w:p>
      <w:pPr>
        <w:pStyle w:val="Heading1"/>
        <w:spacing w:before="600"/>
      </w:pPr>
      <w:r>
        <w:t xml:space="preserve">Anbringender</w:t>
      </w:r>
    </w:p>
    <w:p>
      <w:pPr>
        <w:pStyle w:val="Normal"/>
      </w:pPr>
      <w:r>
        <w:t xml:space="preserve">Når sagsøger får medhold i selve grundlaget for et krav, men kun delvist medhold for så vidt angår kravets størrelse, har Højesteret fastlagt et princip om, at sagsøger skal tilkendes sagsomkostninger svarende til 'det med sagen vundne beløb', jf. U.2004.1313H, U.2008.2252H, U.2012.3303H, U.2019.939H og U.2021.1751H.</w:t>
      </w:r>
    </w:p>
    <w:p>
      <w:pPr>
        <w:pStyle w:val="Heading2"/>
      </w:pPr>
      <w:r>
        <w:t xml:space="preserve">Erstatningsansvar</w:t>
      </w:r>
    </w:p>
    <w:p>
      <w:pPr>
        <w:pStyle w:val="Normal"/>
      </w:pPr>
      <w:r>
        <w:t xml:space="preserve">Vedrører sagen, om sagsøgte er erstatningsansvarlig, og får sagsøger medhold heri, men kun for en mindre del af sit krav, skal sagsøger tilkendes sagsomkostninger, jf. U.2021.1751H:</w:t>
      </w:r>
    </w:p>
    <w:p>
      <w:pPr>
        <w:pStyle w:val="Normal"/>
      </w:pPr>
      <w:r>
        <w:t xml:space="preserve">[Skadelidte]</w:t>
      </w:r>
      <w:r>
        <w:t xml:space="preserve"> har fået medhold i, at </w:t>
      </w:r>
      <w:r>
        <w:t xml:space="preserve">[Skadevolder]</w:t>
      </w:r>
      <w:r>
        <w:t xml:space="preserve"> var erstatningsansvarlig, og idet tyngdepunktet har omhandlet spørgsmålet om ansvar, følger det af den ovennævnte praksis fra Højesteret, at </w:t>
      </w:r>
      <w:r>
        <w:t xml:space="preserve">[Skadelidte]</w:t>
      </w:r>
      <w:r>
        <w:t xml:space="preserve"> skal tilkendes sagsomkostninger svarende til det hermed vundne beløb.</w:t>
      </w:r>
    </w:p>
    <w:p>
      <w:pPr>
        <w:pStyle w:val="Heading2"/>
      </w:pPr>
      <w:r>
        <w:t xml:space="preserve">Årsagssammenhæng</w:t>
      </w:r>
    </w:p>
    <w:p>
      <w:pPr>
        <w:pStyle w:val="Normal"/>
      </w:pPr>
      <w:r>
        <w:t xml:space="preserve">Vedrører sagen, om der er årsagssammenhæng, og får sagsøger medhold heri, men kun for en del af de påberåbte lidelser, skal sagsøger tilkendes sagsomkostninger, jf. U.2012.3303H:</w:t>
      </w:r>
    </w:p>
    <w:p>
      <w:pPr>
        <w:pStyle w:val="Normal"/>
      </w:pPr>
      <w:r>
        <w:t xml:space="preserve">Tvisten har angået, både om der var grundlag for et krav om godtgørelse for mén, og hvad méngrad og godtgørelse i givet fald skulle udmåles til. Der har derfor som udgangspunkt skullet tilkendes sagsomkostninger svarende til det vundne beløb.</w:t>
      </w:r>
    </w:p>
    <w:p>
      <w:pPr>
        <w:pStyle w:val="Heading2"/>
      </w:pPr>
      <w:r>
        <w:t xml:space="preserve">Bagatelgrænse</w:t>
      </w:r>
    </w:p>
    <w:p>
      <w:pPr>
        <w:pStyle w:val="Normal"/>
      </w:pPr>
      <w:r>
        <w:t xml:space="preserve">Har sagsøger kun fået medhold i en marginal del af sit krav, tilsiger retspraksis dog, at sagsomkostningerne ophæves. Grænsen går ved ca. 10 %. Der henvises til:</w:t>
      </w:r>
    </w:p>
    <w:p>
      <w:pPr>
        <w:pStyle w:val="NoSpacing"/>
        <w:tabs>
          <w:tab w:val="left" w:pos="1701"/>
        </w:tabs>
      </w:pPr>
      <w:r>
        <w:t xml:space="preserve">U.2012.1977H </w:t>
      </w:r>
      <w:r>
        <w:tab/>
      </w:r>
      <w:r>
        <w:t xml:space="preserve">Medhold for 27 %. Tilkendt sagsomkostninger.</w:t>
      </w:r>
    </w:p>
    <w:p>
      <w:pPr>
        <w:pStyle w:val="NoSpacing"/>
        <w:tabs>
          <w:tab w:val="left" w:pos="1701"/>
        </w:tabs>
      </w:pPr>
      <w:r>
        <w:t xml:space="preserve">U.2019.939H </w:t>
      </w:r>
      <w:r>
        <w:tab/>
      </w:r>
      <w:r>
        <w:t xml:space="preserve">Medhold for 19 %. Tilkendt sagsomkostninger.</w:t>
      </w:r>
    </w:p>
    <w:p>
      <w:pPr>
        <w:pStyle w:val="NoSpacing"/>
        <w:tabs>
          <w:tab w:val="left" w:pos="1701"/>
        </w:tabs>
      </w:pPr>
      <w:r>
        <w:t xml:space="preserve">U.2021.1751H </w:t>
      </w:r>
      <w:r>
        <w:tab/>
      </w:r>
      <w:r>
        <w:t xml:space="preserve">Medhold for 18 %. Tilkendt sagsomkostninger.</w:t>
      </w:r>
    </w:p>
    <w:p>
      <w:pPr>
        <w:pStyle w:val="NoSpacing"/>
        <w:tabs>
          <w:tab w:val="left" w:pos="1701"/>
        </w:tabs>
      </w:pPr>
      <w:r>
        <w:t xml:space="preserve">U.2004.1313H </w:t>
      </w:r>
      <w:r>
        <w:tab/>
      </w:r>
      <w:r>
        <w:t xml:space="preserve">Medhold for 11,5 %. Tilkendt sagsomkostninger.</w:t>
      </w:r>
    </w:p>
    <w:p>
      <w:pPr>
        <w:pStyle w:val="NoSpacing"/>
        <w:tabs>
          <w:tab w:val="left" w:pos="1701"/>
        </w:tabs>
      </w:pPr>
      <w:r>
        <w:t xml:space="preserve">U.2011.873V </w:t>
      </w:r>
      <w:r>
        <w:tab/>
      </w:r>
      <w:r>
        <w:t xml:space="preserve">Medhold for 9 %. Sagsomkostninger ophævet.</w:t>
      </w:r>
    </w:p>
    <w:p>
      <w:pPr>
        <w:pStyle w:val="NoSpacing"/>
        <w:tabs>
          <w:tab w:val="left" w:pos="1701"/>
        </w:tabs>
      </w:pPr>
      <w:r>
        <w:t xml:space="preserve">U.2009.1306V </w:t>
      </w:r>
      <w:r>
        <w:tab/>
      </w:r>
      <w:r>
        <w:t xml:space="preserve">Medhold for 6 %. Sagsomkostninger ophævet.</w:t>
      </w:r>
    </w:p>
    <w:p>
      <w:pPr>
        <w:pStyle w:val="NoSpacing"/>
        <w:tabs>
          <w:tab w:val="left" w:pos="1701"/>
        </w:tabs>
      </w:pPr>
      <w:r>
        <w:t xml:space="preserve">U.2021.4076H </w:t>
      </w:r>
      <w:r>
        <w:tab/>
      </w:r>
      <w:r>
        <w:t xml:space="preserve">Medhold for 5,5 %. Sagsomkostninger ophævet.</w:t>
      </w:r>
    </w:p>
    <w:p>
      <w:pPr>
        <w:pStyle w:val="NoSpacing"/>
        <w:tabs>
          <w:tab w:val="left" w:pos="1701"/>
        </w:tabs>
      </w:pPr>
      <w:r>
        <w:t xml:space="preserve">U.2021.3615H </w:t>
      </w:r>
      <w:r>
        <w:tab/>
      </w:r>
      <w:r>
        <w:t xml:space="preserve">Medhold for 3,5 %. Sagsomkostninger ophævet.</w:t>
      </w:r>
    </w:p>
    <w:p>
      <w:pPr>
        <w:pStyle w:val="Normal"/>
      </w:pPr>
      <w:r>
        <w:t xml:space="preserve">Som det fremgår, skal sagsøger ikke betale sagsomkostninger til sagsøgte, uanset hvor ubetydelig en del af kravet der opnås medhold for.</w:t>
      </w:r>
    </w:p>
    <w:p>
      <w:pPr>
        <w:pStyle w:val="Normal"/>
        <w:keepNext/>
        <w:keepLines/>
        <w:spacing w:before="0" w:after="0"/>
      </w:pPr>
      <w:r>
        <w:t xml:space="preserve">[Advokat navn]</w:t>
      </w:r>
    </w:p>
    <w:p>
      <w:pPr>
        <w:pStyle w:val="Normal"/>
        <w:keepLines/>
        <w:spacing w:before="0" w:after="0"/>
      </w:pPr>
      <w:r>
        <w:t xml:space="preserve">[Advokat titel]</w:t>
      </w:r>
    </w:p>
    <w:sectPr>
      <w:headerReference w:type="first" r:id="rId6"/>
      <w:footerReference w:type="default" r:id="rId7"/>
      <w:footerReference w:type="first" r:id="rId8"/>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28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Omkostningsindlæg, delvist medhold</dc:title>
  <dc:subject>Arbejdsskade</dc:subject>
  <dc:creator>MinParadigmesamling.dk</dc:creator>
  <cp:lastModifiedBy>MinParadigmesamling.dk</cp:lastModifiedBy>
  <cp:revision>1</cp:revision>
  <dcterms:created xsi:type="dcterms:W3CDTF">2026-07-02T20:34:54.265Z</dcterms:created>
  <dcterms:modified xsi:type="dcterms:W3CDTF">2026-07-02T20:34:54.265Z</dcterms:modified>
</cp:coreProperties>
</file>

<file path=docProps/custom.xml><?xml version="1.0" encoding="utf-8"?>
<Properties xmlns="http://schemas.openxmlformats.org/officeDocument/2006/custom-properties" xmlns:vt="http://schemas.openxmlformats.org/officeDocument/2006/docPropsVTypes"/>
</file>