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Stævning</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t xml:space="preserve">[Medlem adresse]</w:t>
      </w:r>
    </w:p>
    <w:p>
      <w:pPr>
        <w:pStyle w:val="NoSpacing"/>
      </w:pPr>
      <w:r>
        <w:t xml:space="preserve">[Medlem postnr.]</w:t>
      </w:r>
      <w:r>
        <w:t xml:space="preserve"> </w:t>
      </w:r>
      <w:r>
        <w:t xml:space="preserve">[Medlem by]</w:t>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[Modpart navn]</w:t>
      </w:r>
      <w:r/>
    </w:p>
    <w:p>
      <w:pPr>
        <w:pStyle w:val="NoSpacing"/>
      </w:pPr>
      <w:r>
        <w:t xml:space="preserve">CVR-nr.: </w:t>
      </w:r>
      <w:r>
        <w:t xml:space="preserve">[Modpart CVR-nr.]</w:t>
      </w:r>
    </w:p>
    <w:p>
      <w:pPr>
        <w:pStyle w:val="NoSpacing"/>
      </w:pPr>
      <w:r>
        <w:t xml:space="preserve">[Modpart adresse]</w:t>
      </w:r>
    </w:p>
    <w:p>
      <w:pPr>
        <w:pStyle w:val="NoSpacing"/>
      </w:pPr>
      <w:r>
        <w:t xml:space="preserve">[Modpart postnr.]</w:t>
      </w:r>
      <w:r>
        <w:t xml:space="preserve"> </w:t>
      </w:r>
      <w:r>
        <w:t xml:space="preserve">[Modpart by]</w:t>
      </w:r>
    </w:p>
    <w:p>
      <w:pPr>
        <w:pStyle w:val="Heading1"/>
        <w:spacing w:before="600"/>
      </w:pPr>
      <w:r>
        <w:t xml:space="preserve">Påstand</w:t>
      </w:r>
    </w:p>
    <w:p>
      <w:pPr>
        <w:pStyle w:val="Normal"/>
      </w:pPr>
      <w:r>
        <w:t xml:space="preserve">Sagsøgte skal betale </w:t>
      </w:r>
      <w:r>
        <w:t xml:space="preserve">[Beløb]</w:t>
      </w:r>
      <w:r>
        <w:t xml:space="preserve"> kr. med procesrente fra </w:t>
      </w:r>
      <w:r>
        <w:t xml:space="preserve">[Rentedato]</w:t>
      </w:r>
      <w:r>
        <w:t xml:space="preserve">.</w:t>
      </w:r>
    </w:p>
    <w:p>
      <w:pPr>
        <w:pStyle w:val="Heading1"/>
      </w:pPr>
      <w:r>
        <w:t xml:space="preserve">Tvisten</w:t>
      </w:r>
    </w:p>
    <w:p>
      <w:pPr>
        <w:pStyle w:val="Normal"/>
      </w:pPr>
      <w:r>
        <w:t xml:space="preserve">Sagen vedrører, om sagsøgte er berettiget til at tilbageholde den erhvervsevnetabserstatning, som sagsøger er blevet tilkendt af arbejdsskademyndighederne i en arbejdsskadesag.</w:t>
      </w:r>
    </w:p>
    <w:p>
      <w:pPr>
        <w:pStyle w:val="Normal"/>
      </w:pPr>
      <w:r>
        <w:t xml:space="preserve">Indeholdt i denne tvist er en afledt problemstilling om, hvorvidt nærværende sag skal udsættes på sagsøgtes eventuelle sagsanlæg mod arbejdsskademyndighederne.</w:t>
      </w:r>
    </w:p>
    <w:p>
      <w:pPr>
        <w:pStyle w:val="Normal"/>
      </w:pPr>
      <w:r>
        <w:t xml:space="preserve">Erstatningen er blevet tilbageholdt fra </w:t>
      </w:r>
      <w:r>
        <w:t xml:space="preserve">[Måned / år]</w:t>
      </w:r>
      <w:r>
        <w:t xml:space="preserve"> og frem. Den under sagen nedlagte påstand vedrører foreløbig ydelserne til og med </w:t>
      </w:r>
      <w:r>
        <w:t xml:space="preserve">[Måned / år]</w:t>
      </w:r>
      <w:r>
        <w:t xml:space="preserve">.</w:t>
      </w:r>
    </w:p>
    <w:p>
      <w:pPr>
        <w:pStyle w:val="Heading1"/>
      </w:pPr>
      <w:r>
        <w:t xml:space="preserve">Sagsfremstilling</w:t>
      </w:r>
    </w:p>
    <w:p>
      <w:pPr>
        <w:pStyle w:val="Normal"/>
      </w:pPr>
      <w:r>
        <w:t xml:space="preserve">Den </w:t>
      </w:r>
      <w:r>
        <w:t xml:space="preserve">[Skadedato]</w:t>
      </w:r>
      <w:r>
        <w:t xml:space="preserve"> var sagsøger udsat for en tilskadekomst, der blev anerkendt som en arbejdsskade efter arbejdsskadesikringsloven.</w:t>
      </w:r>
    </w:p>
    <w:p>
      <w:pPr>
        <w:pStyle w:val="Normal"/>
      </w:pPr>
      <w:r>
        <w:t xml:space="preserve">Skaden var dækket af en lovpligtig arbejdsskadeforsikring hos sagsøgte, og sagsøgte hæfter i medfør af arbejdsskadesikringsloven direkte overfor skadelidte for krav efter loven.</w:t>
      </w:r>
    </w:p>
    <w:p>
      <w:pPr>
        <w:pStyle w:val="Normal"/>
      </w:pPr>
      <w:r>
        <w:t xml:space="preserve">Den </w:t>
      </w:r>
      <w:r>
        <w:t xml:space="preserve">[Afg. dato]</w:t>
      </w:r>
      <w:r>
        <w:t xml:space="preserve"> traf arbejdsskademyndighederne afgørelse om, at sagsøger var berettiget til midlertidigt erhvervsevnetab på </w:t>
      </w:r>
      <w:r>
        <w:t xml:space="preserve">[EET-procent]</w:t>
      </w:r>
      <w:r>
        <w:t xml:space="preserve"> %.</w:t>
      </w:r>
    </w:p>
    <w:p>
      <w:pPr>
        <w:pStyle w:val="Normal"/>
      </w:pPr>
      <w:r>
        <w:t xml:space="preserve">Sagsøgte har tilkendegivet at være uenig i afgørelsen og har nægtet at efterleve denne, men har ikke anlagt sag ved domstolene for at søge afgørelsen omgjort.</w:t>
      </w:r>
    </w:p>
    <w:p>
      <w:pPr>
        <w:pStyle w:val="Heading1"/>
      </w:pPr>
      <w:r>
        <w:t xml:space="preserve">Anbringender</w:t>
      </w:r>
    </w:p>
    <w:p>
      <w:pPr>
        <w:pStyle w:val="Normal"/>
      </w:pPr>
      <w:r>
        <w:t xml:space="preserve">Det følger af grundlovens § 63, at "Domstolene er berettigede til at påkende ethvert spørgsmål om øvrighedsmyndighedens grænser. Den, der vil rejse sådant spørgsmål, kan dog ikke ved at bringe sagen for domstolene unddrage sig fra foreløbig at efterkomme øvrighedens befaling."</w:t>
      </w:r>
    </w:p>
    <w:p>
      <w:pPr>
        <w:pStyle w:val="Normal"/>
      </w:pPr>
      <w:r>
        <w:t xml:space="preserve">Ved Østre Landsrets kendelse af 18. maj 2001 i sag B-2122-99 blev det fastslået, at denne grundsætning også finder anvendelse på skadelidtes krav på erstatning i medfør af afgørelser fra arbejdsskademyndighederne.</w:t>
      </w:r>
    </w:p>
    <w:p>
      <w:pPr>
        <w:pStyle w:val="Normal"/>
      </w:pPr>
      <w:r>
        <w:t xml:space="preserve">Af samme kendelse følger, at der skal foreligge tungtvejende grunde, hvis et forsikringsselskab skal fritages fra at efterleve arbejdsskademyndighedernes afgørelse.</w:t>
      </w:r>
    </w:p>
    <w:p>
      <w:pPr>
        <w:pStyle w:val="Normal"/>
      </w:pPr>
      <w:r>
        <w:t xml:space="preserve">Ved Højesterets kendelse optrykt som U.2008.1113H blev det fastslået, at skadelidtes krav mod forsikringsselskabet skal udsættes på udfaldet af forsikringsselskabets retssag mod myndighederne, hvis forsikringsselskabet har anlagt sagen inden for 'rimelig tid' efter afgørelsen.</w:t>
      </w:r>
    </w:p>
    <w:p>
      <w:pPr>
        <w:pStyle w:val="Normal"/>
      </w:pPr>
      <w:r>
        <w:t xml:space="preserve">I den pågældende kendelse blev et sagsanlæg 6 måneder efter myndighedernes afgørelse anset for at være sket inden for rimelig tid.</w:t>
      </w:r>
    </w:p>
    <w:p>
      <w:pPr>
        <w:pStyle w:val="Normal"/>
      </w:pPr>
      <w:r>
        <w:t xml:space="preserve">Ved Østre Landsrets kendelse af 10. oktober 2012 i sag B-1094-12 blev det derimod fastslået, at et sagsanlæg 22 måneder efter afgørelsen ikke var sket inden for rimelig tid.</w:t>
      </w:r>
    </w:p>
    <w:p>
      <w:pPr>
        <w:pStyle w:val="Heading2"/>
      </w:pPr>
      <w:r>
        <w:t xml:space="preserve">Supplerende fortolkningsbidrag</w:t>
      </w:r>
    </w:p>
    <w:p>
      <w:pPr>
        <w:pStyle w:val="Normal"/>
      </w:pPr>
      <w:r>
        <w:t xml:space="preserve">Ved udarbejdelsen af forældelsesloven blev det vurderet, at parter skulle have en 'rimelig tid' til at indbringe offentlige myndigheders afgørelser for domstolene, hvor der ikke kunne indtræde forældelse.</w:t>
      </w:r>
    </w:p>
    <w:p>
      <w:pPr>
        <w:pStyle w:val="Normal"/>
      </w:pPr>
      <w:r>
        <w:t xml:space="preserve">En sådan 'rimelig tid' blev fastlagt til at være 1 år fra myndighedens afgørelse, hvilket blev lovfæstet i forældelseslovens § 21, stk. 2.</w:t>
      </w:r>
    </w:p>
    <w:p>
      <w:pPr>
        <w:pStyle w:val="Normal"/>
      </w:pPr>
      <w:r>
        <w:t xml:space="preserve">Senest er spørgsmålet om en søgsmålsfrist blevet diskuteret indgående i forbindelse med den arbejdsskadereform, der blev vedtaget af Folketinget den 7. december 2023.</w:t>
      </w:r>
    </w:p>
    <w:p>
      <w:pPr>
        <w:pStyle w:val="Normal"/>
      </w:pPr>
      <w:r>
        <w:t xml:space="preserve">Dette førte til, at der blev indført en søgsmålsfrist i arbejdsskadesikringslovens § 47, stk. 2, hvorefter et forsikringsselskab skal have anlagt sag mod myndighederne senest 6 måneder efter afgørelsen.</w:t>
      </w:r>
    </w:p>
    <w:p>
      <w:pPr>
        <w:pStyle w:val="Normal"/>
      </w:pPr>
      <w:r>
        <w:t xml:space="preserve">Lovændringen har dog kun virkning for skader, der indtræder fra 1. juli 2024 og frem, og dermed ikke for nærværende skade. Den bidrager dog med et politisk perspektiv på, hvornår et søgsmål anses for at være sket inden for 'rimelig tid'.</w:t>
      </w:r>
    </w:p>
    <w:p>
      <w:pPr>
        <w:pStyle w:val="Heading1"/>
      </w:pPr>
      <w:r>
        <w:t xml:space="preserve">Bevisførelse</w:t>
      </w:r>
    </w:p>
    <w:p>
      <w:pPr>
        <w:pStyle w:val="Normal"/>
      </w:pPr>
      <w:r>
        <w:t xml:space="preserve">Sagsøger vil under sagen påberåbe sig følgende bilag:</w:t>
      </w:r>
    </w:p>
    <w:p>
      <w:pPr>
        <w:pStyle w:val="NoSpacing"/>
        <w:tabs>
          <w:tab w:val="left" w:pos="1134"/>
        </w:tabs>
      </w:pPr>
      <w:r>
        <w:t xml:space="preserve">Bilag 1: </w:t>
      </w:r>
      <w:r>
        <w:tab/>
      </w:r>
      <w:r>
        <w:t xml:space="preserve">[Beskrivelse]</w:t>
      </w:r>
    </w:p>
    <w:p>
      <w:pPr>
        <w:pStyle w:val="NoSpacing"/>
        <w:tabs>
          <w:tab w:val="left" w:pos="1134"/>
        </w:tabs>
      </w:pPr>
      <w:r>
        <w:t xml:space="preserve">Bilag 2: </w:t>
      </w:r>
      <w:r>
        <w:tab/>
      </w:r>
      <w:r>
        <w:t xml:space="preserve">[Beskrivelse]</w:t>
      </w:r>
    </w:p>
    <w:p>
      <w:pPr>
        <w:pStyle w:val="NoSpacing"/>
        <w:tabs>
          <w:tab w:val="left" w:pos="1134"/>
        </w:tabs>
      </w:pPr>
      <w:r>
        <w:t xml:space="preserve">Bilag 3: </w:t>
      </w:r>
      <w:r>
        <w:tab/>
      </w:r>
      <w:r>
        <w:t xml:space="preserve">[Beskrivelse]</w:t>
      </w:r>
    </w:p>
    <w:p>
      <w:pPr>
        <w:pStyle w:val="NoSpacing"/>
        <w:tabs>
          <w:tab w:val="left" w:pos="1134"/>
        </w:tabs>
      </w:pPr>
      <w:r>
        <w:t xml:space="preserve">Bilag 4: </w:t>
      </w:r>
      <w:r>
        <w:tab/>
      </w:r>
      <w:r>
        <w:t xml:space="preserve">[Beskrivelse]</w:t>
      </w:r>
    </w:p>
    <w:p>
      <w:pPr>
        <w:pStyle w:val="NoSpacing"/>
        <w:tabs>
          <w:tab w:val="left" w:pos="1134"/>
        </w:tabs>
      </w:pPr>
      <w:r>
        <w:t xml:space="preserve">Bilag 5: </w:t>
      </w:r>
      <w:r>
        <w:tab/>
      </w:r>
      <w:r>
        <w:t xml:space="preserve">[Beskrivelse]</w:t>
      </w:r>
    </w:p>
    <w:p>
      <w:pPr>
        <w:pStyle w:val="NoSpacing"/>
        <w:tabs>
          <w:tab w:val="left" w:pos="1134"/>
        </w:tabs>
      </w:pPr>
      <w:r>
        <w:t xml:space="preserve">Bilag 6: </w:t>
      </w:r>
      <w:r>
        <w:tab/>
      </w:r>
      <w:r>
        <w:t xml:space="preserve">[Beskrivelse]</w:t>
      </w:r>
    </w:p>
    <w:p>
      <w:pPr>
        <w:pStyle w:val="NoSpacing"/>
        <w:tabs>
          <w:tab w:val="left" w:pos="1134"/>
        </w:tabs>
      </w:pPr>
      <w:r>
        <w:t xml:space="preserve">Bilag 7: </w:t>
      </w:r>
      <w:r>
        <w:tab/>
      </w:r>
      <w:r>
        <w:t xml:space="preserve">[Beskrivelse]</w:t>
      </w:r>
    </w:p>
    <w:p>
      <w:pPr>
        <w:pStyle w:val="NoSpacing"/>
        <w:tabs>
          <w:tab w:val="left" w:pos="1134"/>
        </w:tabs>
      </w:pPr>
      <w:r>
        <w:t xml:space="preserve">Bilag 8: </w:t>
      </w:r>
      <w:r>
        <w:tab/>
      </w:r>
      <w:r>
        <w:t xml:space="preserve">[Beskrivelse]</w:t>
      </w:r>
    </w:p>
    <w:p>
      <w:pPr>
        <w:pStyle w:val="NoSpacing"/>
        <w:tabs>
          <w:tab w:val="left" w:pos="1134"/>
        </w:tabs>
      </w:pPr>
      <w:r>
        <w:t xml:space="preserve">Bilag 9: </w:t>
      </w:r>
      <w:r>
        <w:tab/>
      </w:r>
      <w:r>
        <w:t xml:space="preserve">[Beskrivelse]</w:t>
      </w:r>
    </w:p>
    <w:p>
      <w:pPr>
        <w:pStyle w:val="NoSpacing"/>
        <w:tabs>
          <w:tab w:val="left" w:pos="1134"/>
        </w:tabs>
      </w:pPr>
      <w:r>
        <w:t xml:space="preserve">Bilag 10: </w:t>
      </w:r>
      <w:r>
        <w:tab/>
      </w:r>
      <w:r>
        <w:t xml:space="preserve">[Beskrivelse]</w:t>
      </w:r>
    </w:p>
    <w:p>
      <w:pPr>
        <w:pStyle w:val="Normal"/>
      </w:pPr>
      <w:r>
        <w:t xml:space="preserve">Der vil ikke blive afgivet parts- eller vidneforklaringer.</w:t>
      </w:r>
    </w:p>
    <w:p>
      <w:pPr>
        <w:pStyle w:val="Heading1"/>
      </w:pPr>
      <w:r>
        <w:t xml:space="preserve">Sagsgenstand og momsforhold</w:t>
      </w:r>
    </w:p>
    <w:p>
      <w:pPr>
        <w:pStyle w:val="Normal"/>
      </w:pPr>
      <w:r>
        <w:t xml:space="preserve">Sagsgenstanden kan i overensstemmelse med den nedlagte påstand opgøres til </w:t>
      </w:r>
      <w:r>
        <w:t xml:space="preserve">[Beløb]</w:t>
      </w:r>
      <w:r>
        <w:t xml:space="preserve"> kr.</w:t>
      </w:r>
    </w:p>
    <w:sdt>
      <w:sdtPr>
        <w:alias w:val="Vælg"/>
        <w:tag w:val="valg"/>
        <w:showingPlcHdr/>
        <w:dropDownList>
          <w:listItem w:displayText="[Vælg...]" w:value="[Vælg...]"/>
          <w:listItem w:displayText="Sagsøgers mandatar er ikke momsregistreret i dette retsforhold." w:value="Sagsøgers mandatar er ikke momsregistreret i dette retsforhold."/>
          <w:listItem w:displayText="Sagsøgers mandatar er ikke momsregistreret i dette retsforhold, men er repræsenteret af en internt ansat advokat, hvorfor tilkendte sagsomkostninger ikke skal tillægges moms." w:value="Sagsøgers mandatar er ikke momsregistreret i dette retsforhold, men er repræsenteret af en internt ansat advokat, hvorfor tilkendte sagsomkostninger ikke skal tillægges moms."/>
        </w:dropDownList>
      </w:sdtPr>
      <w:sdtEndPr/>
      <w:sdtContent>
        <w:p>
          <w:pPr>
            <w:pStyle w:val="Normal"/>
            <w:rPr>
              <w:shd w:val="clear" w:color="auto" w:fill="FF00FF"/>
            </w:rPr>
          </w:pPr>
          <w:r>
            <w:rPr>
              <w:shd w:val="clear" w:color="auto" w:fill="FF00FF"/>
            </w:rPr>
            <w:t>[Vælg...]</w:t>
          </w:r>
        </w:p>
      </w:sdtContent>
    </w:sdt>
    <w:p>
      <w:pPr>
        <w:pStyle w:val="Heading1"/>
      </w:pPr>
      <w:r>
        <w:t xml:space="preserve">Processuelle forhold</w:t>
      </w:r>
    </w:p>
    <w:p>
      <w:pPr>
        <w:pStyle w:val="Normal"/>
      </w:pPr>
      <w:r>
        <w:t xml:space="preserve">Sagen anses for egnet til behandling på skriftligt grundlag, jf. RPL § 366.</w:t>
      </w:r>
    </w:p>
    <w:p>
      <w:pPr>
        <w:pStyle w:val="Normal"/>
      </w:pPr>
      <w:r>
        <w:t xml:space="preserve">Hvis sagsøgte måtte gøre gældende, at nærværende sag skal udsættes på udfaldet af en eventuel retssag mellem sagsøgte og arbejdsskademyndighederne, begæres dette spørgsmål udskilt til særskilt behandling, jf. RPL § 253, stk. 2.</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Forsikringsselskab tilbageholder EET</dc:title>
  <dc:subject>Arbejdsskade</dc:subject>
  <dc:creator>MinParadigmesamling.dk</dc:creator>
  <cp:lastModifiedBy>MinParadigmesamling.dk</cp:lastModifiedBy>
  <cp:revision>1</cp:revision>
  <dcterms:created xsi:type="dcterms:W3CDTF">2026-07-02T20:34:54.415Z</dcterms:created>
  <dcterms:modified xsi:type="dcterms:W3CDTF">2026-07-02T20:34:54.415Z</dcterms:modified>
</cp:coreProperties>
</file>

<file path=docProps/custom.xml><?xml version="1.0" encoding="utf-8"?>
<Properties xmlns="http://schemas.openxmlformats.org/officeDocument/2006/custom-properties" xmlns:vt="http://schemas.openxmlformats.org/officeDocument/2006/docPropsVTypes"/>
</file>