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Stævning</w:t>
      </w:r>
    </w:p>
    <w:p>
      <w:pPr>
        <w:pStyle w:val="Normal"/>
        <w:framePr w:anchorLock="true" w:w="2835" w:h="1134" w:x="7655" w:y="2041"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2041" w:hAnchor="page" w:vAnchor="page" w:wrap="none"/>
        <w:spacing w:before="120" w:after="120"/>
        <w:jc w:val="right"/>
      </w:pPr>
      <w:r>
        <w:rPr>
          <w:color w:val="808080"/>
          <w:sz w:val="18"/>
          <w:szCs w:val="18"/>
        </w:rPr>
        <w:t xml:space="preserve">[Dato]</w:t>
      </w:r>
    </w:p>
    <w:p>
      <w:pPr>
        <w:pStyle w:val="NoSpacing"/>
      </w:pPr>
      <w:r>
        <w:t xml:space="preserve">[Forbund]</w:t>
      </w:r>
    </w:p>
    <w:p>
      <w:pPr>
        <w:pStyle w:val="NoSpacing"/>
      </w:pPr>
      <w:r>
        <w:t xml:space="preserve">som mandatar for</w:t>
      </w:r>
    </w:p>
    <w:p>
      <w:pPr>
        <w:pStyle w:val="NoSpacing"/>
      </w:pPr>
      <w:r/>
      <w:r>
        <w:rPr>
          <w:b/>
          <w:bCs/>
        </w:rPr>
        <w:t xml:space="preserve">[Medlem navn]</w:t>
      </w:r>
      <w:r/>
    </w:p>
    <w:p>
      <w:pPr>
        <w:pStyle w:val="NoSpacing"/>
      </w:pPr>
      <w:r>
        <w:t xml:space="preserve">[Medlem adresse]</w:t>
      </w:r>
    </w:p>
    <w:p>
      <w:pPr>
        <w:pStyle w:val="NoSpacing"/>
      </w:pPr>
      <w:r>
        <w:t xml:space="preserve">[Medlem postnr.]</w:t>
      </w:r>
      <w:r>
        <w:t xml:space="preserve"> </w:t>
      </w:r>
      <w:r>
        <w:t xml:space="preserve">[Medlem by]</w:t>
      </w:r>
    </w:p>
    <w:p>
      <w:pPr>
        <w:pStyle w:val="NoSpacing"/>
      </w:pPr>
      <w:r>
        <w:rPr>
          <w:i/>
          <w:iCs/>
        </w:rPr>
        <w:t xml:space="preserve">(advokat </w:t>
      </w:r>
      <w:r>
        <w:rPr>
          <w:i/>
          <w:iCs/>
        </w:rPr>
        <w:t xml:space="preserve">[advokat navn]</w:t>
      </w:r>
      <w:r>
        <w:rPr>
          <w:i/>
          <w:iCs/>
        </w:rPr>
        <w:t xml:space="preserve">)</w:t>
      </w:r>
    </w:p>
    <w:p>
      <w:pPr>
        <w:pStyle w:val="NoSpacing"/>
      </w:pPr>
    </w:p>
    <w:p>
      <w:pPr>
        <w:pStyle w:val="NoSpacing"/>
      </w:pPr>
      <w:r>
        <w:t xml:space="preserve">mod</w:t>
      </w:r>
    </w:p>
    <w:p>
      <w:pPr>
        <w:pStyle w:val="NoSpacing"/>
      </w:pPr>
    </w:p>
    <w:p>
      <w:pPr>
        <w:pStyle w:val="NoSpacing"/>
      </w:pPr>
      <w:r/>
      <w:r>
        <w:rPr>
          <w:b/>
          <w:bCs/>
        </w:rPr>
        <w:t xml:space="preserve">Ankestyrelsen</w:t>
      </w:r>
      <w:r/>
    </w:p>
    <w:p>
      <w:pPr>
        <w:pStyle w:val="NoSpacing"/>
      </w:pPr>
      <w:r>
        <w:t xml:space="preserve">CVR-nr.: 10074002</w:t>
      </w:r>
    </w:p>
    <w:p>
      <w:pPr>
        <w:pStyle w:val="NoSpacing"/>
      </w:pPr>
      <w:r>
        <w:t xml:space="preserve">Teglholmsgade 3</w:t>
      </w:r>
    </w:p>
    <w:p>
      <w:pPr>
        <w:pStyle w:val="NoSpacing"/>
      </w:pPr>
      <w:r>
        <w:t xml:space="preserve">2450 København SV</w:t>
      </w:r>
    </w:p>
    <w:p>
      <w:pPr>
        <w:pStyle w:val="Heading1"/>
        <w:spacing w:before="600"/>
      </w:pPr>
      <w:r>
        <w:t xml:space="preserve">Påstand</w:t>
      </w:r>
    </w:p>
    <w:p>
      <w:pPr>
        <w:pStyle w:val="Heading3"/>
      </w:pPr>
      <w:r>
        <w:t xml:space="preserve">Principalt</w:t>
      </w:r>
    </w:p>
    <w:p>
      <w:pPr>
        <w:pStyle w:val="Normal"/>
      </w:pPr>
      <w:r>
        <w:t xml:space="preserve">Sagsøgte skal anerkende, at sagsøgers erhvervsevnetab relaterende til </w:t>
      </w:r>
      <w:r>
        <w:t xml:space="preserve">[højre/venstre]</w:t>
      </w:r>
      <w:r>
        <w:t xml:space="preserve"> </w:t>
      </w:r>
      <w:r>
        <w:t xml:space="preserve">[Legemsdel]</w:t>
      </w:r>
      <w:r>
        <w:t xml:space="preserve"> som følge af den anerkendte arbejdsskade </w:t>
      </w:r>
      <w:r>
        <w:t xml:space="preserve">[Skadedato]</w:t>
      </w:r>
      <w:r>
        <w:t xml:space="preserve"> udgør </w:t>
      </w:r>
      <w:r>
        <w:t xml:space="preserve">[Samlet EET]</w:t>
      </w:r>
      <w:r>
        <w:t xml:space="preserve"> %.</w:t>
      </w:r>
    </w:p>
    <w:p>
      <w:pPr>
        <w:pStyle w:val="Heading3"/>
      </w:pPr>
      <w:r>
        <w:t xml:space="preserve">Subsidiært</w:t>
      </w:r>
    </w:p>
    <w:p>
      <w:pPr>
        <w:pStyle w:val="Normal"/>
      </w:pPr>
      <w:r>
        <w:t xml:space="preserve">Sagsøgte skal anerkende, at sagsøgers erhvervsevnetab relaterende til </w:t>
      </w:r>
      <w:r>
        <w:t xml:space="preserve">[højre/venstre]</w:t>
      </w:r>
      <w:r>
        <w:t xml:space="preserve"> </w:t>
      </w:r>
      <w:r>
        <w:t xml:space="preserve">[Legemsdel]</w:t>
      </w:r>
      <w:r>
        <w:t xml:space="preserve"> som følge af den anerkendte arbejdsskade </w:t>
      </w:r>
      <w:r>
        <w:t xml:space="preserve">[Skadedato]</w:t>
      </w:r>
      <w:r>
        <w:t xml:space="preserve"> udgør et af retten skønsmæssigt fastsat erhvervsevnetab større end </w:t>
      </w:r>
      <w:r>
        <w:t xml:space="preserve">[Afg. EET]</w:t>
      </w:r>
      <w:r>
        <w:t xml:space="preserve"> %.</w:t>
      </w:r>
    </w:p>
    <w:p>
      <w:pPr>
        <w:pStyle w:val="Heading3"/>
      </w:pPr>
      <w:r>
        <w:t xml:space="preserve">Mere subsidiært</w:t>
      </w:r>
    </w:p>
    <w:p>
      <w:pPr>
        <w:pStyle w:val="Normal"/>
      </w:pPr>
      <w:r>
        <w:t xml:space="preserve">Sagsøgtes afgørelse af </w:t>
      </w:r>
      <w:r>
        <w:t xml:space="preserve">[Afg. dato]</w:t>
      </w:r>
      <w:r>
        <w:t xml:space="preserve"> ophæves, og sagen hjemvises til fornyet administrativ behandling.</w:t>
      </w:r>
    </w:p>
    <w:p>
      <w:pPr>
        <w:pStyle w:val="Heading1"/>
      </w:pPr>
      <w:r>
        <w:t xml:space="preserve">Tvisten</w:t>
      </w:r>
    </w:p>
    <w:p>
      <w:pPr>
        <w:pStyle w:val="Normal"/>
      </w:pPr>
      <w:r>
        <w:t xml:space="preserve">Sagen vedrører en prøvelse af sagsøgtes afgørelse af </w:t>
      </w:r>
      <w:r>
        <w:t xml:space="preserve">[Afg. dato]</w:t>
      </w:r>
      <w:r>
        <w:t xml:space="preserve">, hvori sagsøgte traf afgørelse om, at sagsøgers samlede erhvervsevnetab relaterende til </w:t>
      </w:r>
      <w:r>
        <w:t xml:space="preserve">[højre/venstre]</w:t>
      </w:r>
      <w:r>
        <w:t xml:space="preserve"> </w:t>
      </w:r>
      <w:r>
        <w:t xml:space="preserve">[Legemsdel]</w:t>
      </w:r>
      <w:r>
        <w:t xml:space="preserve"> udgjorde </w:t>
      </w:r>
      <w:r>
        <w:t xml:space="preserve">[Samlet EET]</w:t>
      </w:r>
      <w:r>
        <w:t xml:space="preserve"> %, hvoraf sagsøgte alene henførte </w:t>
      </w:r>
      <w:r>
        <w:t xml:space="preserve">[Afg. EET]</w:t>
      </w:r>
      <w:r>
        <w:t xml:space="preserve"> % til den anerkendte arbejdsskade </w:t>
      </w:r>
      <w:r>
        <w:t xml:space="preserve">[Skadedato]</w:t>
      </w:r>
      <w:r>
        <w:t xml:space="preserve">.</w:t>
      </w:r>
    </w:p>
    <w:p>
      <w:pPr>
        <w:pStyle w:val="Normal"/>
      </w:pPr>
      <w:r>
        <w:t xml:space="preserve">Der er enighed om, at det samlede erhvervsevnetab relaterende til </w:t>
      </w:r>
      <w:r>
        <w:t xml:space="preserve">[højre/venstre]</w:t>
      </w:r>
      <w:r>
        <w:t xml:space="preserve"> </w:t>
      </w:r>
      <w:r>
        <w:t xml:space="preserve">[Legemsdel]</w:t>
      </w:r>
      <w:r>
        <w:t xml:space="preserve"> udgør </w:t>
      </w:r>
      <w:r>
        <w:t xml:space="preserve">[Samlet EET]</w:t>
      </w:r>
      <w:r>
        <w:t xml:space="preserve"> %, og sagen vedrører dermed alene, om det er berettiget, at sagsøgte har foretaget fradrag heri.</w:t>
      </w:r>
    </w:p>
    <w:p>
      <w:pPr>
        <w:pStyle w:val="Normal"/>
      </w:pPr>
      <w:r>
        <w:t xml:space="preserve">Hvis retten finder, at der er grundlag for at foretage fradrag, vedrører sagsøgers subsidiære påstand dernæst, om størrelsen på det foretagne fradrag er korrekt.</w:t>
      </w:r>
    </w:p>
    <w:p>
      <w:pPr>
        <w:pStyle w:val="Heading1"/>
      </w:pPr>
      <w:r>
        <w:t xml:space="preserve">Sagsfremstilling</w:t>
      </w:r>
    </w:p>
    <w:p>
      <w:pPr>
        <w:pStyle w:val="Normal"/>
      </w:pPr>
      <w:r>
        <w:t xml:space="preserve">På skadestidspunktet, den </w:t>
      </w:r>
      <w:r>
        <w:t xml:space="preserve">[Skadedato]</w:t>
      </w:r>
      <w:r>
        <w:t xml:space="preserve">, var sagsøger ansat som </w:t>
      </w:r>
      <w:r>
        <w:t xml:space="preserve">[Jobtitel]</w:t>
      </w:r>
      <w:r>
        <w:t xml:space="preserve"> i virksomheden </w:t>
      </w:r>
      <w:r>
        <w:t xml:space="preserve">[Arbejdsgiver navn]</w:t>
      </w:r>
      <w:r>
        <w:t xml:space="preserve">.</w:t>
      </w:r>
    </w:p>
    <w:p>
      <w:pPr>
        <w:pStyle w:val="Normal"/>
      </w:pPr>
      <w:r>
        <w:t xml:space="preserve">Skaden indtraf i forbindelse med, at sagsøger </w:t>
      </w:r>
      <w:r>
        <w:t xml:space="preserve">[Skadebeskrivelse]</w:t>
      </w:r>
      <w:r>
        <w:t xml:space="preserve">.</w:t>
      </w:r>
    </w:p>
    <w:p>
      <w:pPr>
        <w:pStyle w:val="Normal"/>
      </w:pPr>
      <w:r>
        <w:t xml:space="preserve">Skaden blev anerkendt ved afgørelse af </w:t>
      </w:r>
      <w:r>
        <w:t xml:space="preserve">[Afg. dato]</w:t>
      </w:r>
      <w:r>
        <w:t xml:space="preserve">, og sagsøgte traf dernæst afgørelse om et varigt mén på </w:t>
      </w:r>
      <w:r>
        <w:t xml:space="preserve">[Méngrad]</w:t>
      </w:r>
      <w:r>
        <w:t xml:space="preserve"> % den </w:t>
      </w:r>
      <w:r>
        <w:t xml:space="preserve">[Afg. dato]</w:t>
      </w:r>
      <w:r>
        <w:t xml:space="preserve">.</w:t>
      </w:r>
    </w:p>
    <w:p>
      <w:pPr>
        <w:pStyle w:val="Normal"/>
      </w:pPr>
      <w:r>
        <w:t xml:space="preserve">Ved afgørelse af </w:t>
      </w:r>
      <w:r>
        <w:t xml:space="preserve">[Afg. dato]</w:t>
      </w:r>
      <w:r>
        <w:t xml:space="preserve"> traf sagsøgte dernæst afgørelse om </w:t>
      </w:r>
      <w:r>
        <w:t xml:space="preserve">[midlertidigt/endeligt]</w:t>
      </w:r>
      <w:r>
        <w:t xml:space="preserve"> erhvervsevnetab i sagen.</w:t>
      </w:r>
    </w:p>
    <w:p>
      <w:pPr>
        <w:pStyle w:val="Normal"/>
      </w:pPr>
      <w:r>
        <w:t xml:space="preserve">Det samlede erhvervsevnetab blev fastsat til </w:t>
      </w:r>
      <w:r>
        <w:t xml:space="preserve">[Samlet EET]</w:t>
      </w:r>
      <w:r>
        <w:t xml:space="preserve"> %, men sagsøgte foretog fradrag heri, således at kun </w:t>
      </w:r>
      <w:r>
        <w:t xml:space="preserve">[Afg. EET]</w:t>
      </w:r>
      <w:r>
        <w:t xml:space="preserve"> % blev henført til skaden.</w:t>
      </w:r>
    </w:p>
    <w:p>
      <w:pPr>
        <w:pStyle w:val="Normal"/>
      </w:pPr>
      <w:r>
        <w:t xml:space="preserve">Som begrundelse for det foretagne fradrag angav sagsøgte, at </w:t>
      </w:r>
      <w:r>
        <w:t xml:space="preserve">[Begrundelse]</w:t>
      </w:r>
      <w:r>
        <w:t xml:space="preserve">.</w:t>
      </w:r>
    </w:p>
    <w:p>
      <w:pPr>
        <w:pStyle w:val="Heading1"/>
      </w:pPr>
      <w:r>
        <w:t xml:space="preserve">Anbringender</w:t>
      </w:r>
    </w:p>
    <w:p>
      <w:pPr>
        <w:pStyle w:val="Normal"/>
      </w:pPr>
      <w:r>
        <w:t xml:space="preserve">Det er i medfør af arbejdsskadesikringslovens § 12, stk. 2 sagsøgte, der skal løfte bevisbyrden for både at det er berettiget at foretage fradrag, og at størrelsen på fradraget er korrekt.</w:t>
      </w:r>
    </w:p>
    <w:p>
      <w:pPr>
        <w:pStyle w:val="Normal"/>
      </w:pPr>
      <w:r>
        <w:t xml:space="preserve">Sagsøgte skal kunne løfte sin bevisbyrde med 'overvejende sandsynlighed', og lovens formulering herom er udtryk for et strengt og bogstaveligt krav, jf. U.2010.1197H.</w:t>
      </w:r>
    </w:p>
    <w:p>
      <w:pPr>
        <w:pStyle w:val="Normal"/>
      </w:pPr>
      <w:r>
        <w:t xml:space="preserve">Det er ikke tilstrækkeligt, at sagsøgte kan påvise, at der før eller efter skaden har været sekundære lidelser. Sagsøgte skal kunne løfte bevisbyrden for, at disse lidelser også ville have medført et egentligt erhvervsevnetab.</w:t>
      </w:r>
    </w:p>
    <w:p>
      <w:pPr>
        <w:pStyle w:val="Normal"/>
      </w:pPr>
      <w:r>
        <w:t xml:space="preserve">Der kan ikke foretages fradrag for lidelser, der allerede havde reduceret erhvervsevnen inden skaden, idet konsekvenserne af sådanne allerede er fradraget ved årslønsfastsættelsen, jf. PA 48-14.</w:t>
      </w:r>
    </w:p>
    <w:p>
      <w:pPr>
        <w:pStyle w:val="Normal"/>
      </w:pPr>
      <w:r>
        <w:t xml:space="preserve">Der kan desuden kun foretages fradrag for sekundære og forudbestående lidelser, hvis sagsøgte kan løfte bevisbyrden for, at de af sig selv ville have påvirket erhvervsevnen omkring samme tidspunkt, som skaden skete. Der kan ikke ske fradrag som følge af sekundære forhold, hvis disse først ville have påvirket erhvervsevnen på et senere tidspunkt, jf. U.2010.168H og U.2017.516H.</w:t>
      </w:r>
    </w:p>
    <w:p>
      <w:pPr>
        <w:pStyle w:val="Normal"/>
      </w:pPr>
      <w:r>
        <w:t xml:space="preserve">Der kan herudover ikke ske fradrag for sekundære lidelser, som alene har medført, at erhvervsevnetabet fra den anerkendte arbejdsskade er blevet større, end det ellers ville have været, jf. U.1996.1334H og U.2012.276H.</w:t>
      </w:r>
    </w:p>
    <w:p>
      <w:pPr>
        <w:pStyle w:val="Normal"/>
      </w:pPr>
      <w:r>
        <w:t xml:space="preserve">Der kan heller ikke foretages fradrag for en forudbestående lidelse, når erhvervsevnetabet er opstået ved at arbejdsskaden har udløst eller forværret symptomer fra denne, jf. U.2017.516H.</w:t>
      </w:r>
    </w:p>
    <w:p>
      <w:pPr>
        <w:pStyle w:val="Normal"/>
      </w:pPr>
      <w:r>
        <w:t xml:space="preserve">Idet sagsøger på skadestidspunktet var ansat på ordinære vilkår og modtog normal løn, og sagsøgte ikke har påvist, at dette med overvejende sandsynlighed ville have ændret sig omkring skadestidspunktet, hvis skaden ikke var indtrådt, har sagsøgte ikke løftet bevisbyrden for det foretagne fradrag.</w:t>
      </w:r>
    </w:p>
    <w:p>
      <w:pPr>
        <w:pStyle w:val="Heading2"/>
      </w:pPr>
      <w:r>
        <w:t xml:space="preserve">Principal ctr. subsidiær påstand</w:t>
      </w:r>
    </w:p>
    <w:p>
      <w:pPr>
        <w:pStyle w:val="Normal"/>
      </w:pPr>
      <w:r>
        <w:t xml:space="preserve">Finder retten, at sagsøgte har løftet sin bevisbyrde for, at det var berettiget at foretage fradrag i erhvervsevnetabet, gøres det da i anden række gældende, at sagsøgte ikke har løftet bevisbyrden for det fulde fradrag.</w:t>
      </w:r>
    </w:p>
    <w:p>
      <w:pPr>
        <w:pStyle w:val="Normal"/>
      </w:pPr>
      <w:r>
        <w:t xml:space="preserve">Er retten enig heri, gøres det subsidiært gældende, at retten i givet fald må fastsætte erhvervsevnetabet skønsmæssigt, og mere subsidiært at sagen må hjemvises med henblik på administrativ stillingtagen hertil.</w:t>
      </w:r>
    </w:p>
    <w:p>
      <w:pPr>
        <w:pStyle w:val="Heading1"/>
      </w:pPr>
      <w:r>
        <w:t xml:space="preserve">Bevisførelse</w:t>
      </w:r>
    </w:p>
    <w:p>
      <w:pPr>
        <w:pStyle w:val="Normal"/>
      </w:pPr>
      <w:r>
        <w:t xml:space="preserve">Sagsøger vil under sagen påberåbe sig følgende bilag:</w:t>
      </w:r>
    </w:p>
    <w:p>
      <w:pPr>
        <w:pStyle w:val="NoSpacing"/>
        <w:tabs>
          <w:tab w:val="left" w:pos="1134"/>
        </w:tabs>
      </w:pPr>
      <w:r>
        <w:t xml:space="preserve">Bilag 1: </w:t>
      </w:r>
      <w:r>
        <w:tab/>
      </w:r>
      <w:r>
        <w:t xml:space="preserve">[Beskrivelse]</w:t>
      </w:r>
    </w:p>
    <w:p>
      <w:pPr>
        <w:pStyle w:val="NoSpacing"/>
        <w:tabs>
          <w:tab w:val="left" w:pos="1134"/>
        </w:tabs>
      </w:pPr>
      <w:r>
        <w:t xml:space="preserve">Bilag 2: </w:t>
      </w:r>
      <w:r>
        <w:tab/>
      </w:r>
      <w:r>
        <w:t xml:space="preserve">[Beskrivelse]</w:t>
      </w:r>
    </w:p>
    <w:p>
      <w:pPr>
        <w:pStyle w:val="NoSpacing"/>
        <w:tabs>
          <w:tab w:val="left" w:pos="1134"/>
        </w:tabs>
      </w:pPr>
      <w:r>
        <w:t xml:space="preserve">Bilag 3: </w:t>
      </w:r>
      <w:r>
        <w:tab/>
      </w:r>
      <w:r>
        <w:t xml:space="preserve">[Beskrivelse]</w:t>
      </w:r>
    </w:p>
    <w:p>
      <w:pPr>
        <w:pStyle w:val="NoSpacing"/>
        <w:tabs>
          <w:tab w:val="left" w:pos="1134"/>
        </w:tabs>
      </w:pPr>
      <w:r>
        <w:t xml:space="preserve">Bilag 4: </w:t>
      </w:r>
      <w:r>
        <w:tab/>
      </w:r>
      <w:r>
        <w:t xml:space="preserve">[Beskrivelse]</w:t>
      </w:r>
    </w:p>
    <w:p>
      <w:pPr>
        <w:pStyle w:val="NoSpacing"/>
        <w:tabs>
          <w:tab w:val="left" w:pos="1134"/>
        </w:tabs>
      </w:pPr>
      <w:r>
        <w:t xml:space="preserve">Bilag 5: </w:t>
      </w:r>
      <w:r>
        <w:tab/>
      </w:r>
      <w:r>
        <w:t xml:space="preserve">[Beskrivelse]</w:t>
      </w:r>
    </w:p>
    <w:p>
      <w:pPr>
        <w:pStyle w:val="NoSpacing"/>
        <w:tabs>
          <w:tab w:val="left" w:pos="1134"/>
        </w:tabs>
      </w:pPr>
      <w:r>
        <w:t xml:space="preserve">Bilag 6: </w:t>
      </w:r>
      <w:r>
        <w:tab/>
      </w:r>
      <w:r>
        <w:t xml:space="preserve">[Beskrivelse]</w:t>
      </w:r>
    </w:p>
    <w:p>
      <w:pPr>
        <w:pStyle w:val="NoSpacing"/>
        <w:tabs>
          <w:tab w:val="left" w:pos="1134"/>
        </w:tabs>
      </w:pPr>
      <w:r>
        <w:t xml:space="preserve">Bilag 7: </w:t>
      </w:r>
      <w:r>
        <w:tab/>
      </w:r>
      <w:r>
        <w:t xml:space="preserve">[Beskrivelse]</w:t>
      </w:r>
    </w:p>
    <w:p>
      <w:pPr>
        <w:pStyle w:val="NoSpacing"/>
        <w:tabs>
          <w:tab w:val="left" w:pos="1134"/>
        </w:tabs>
      </w:pPr>
      <w:r>
        <w:t xml:space="preserve">Bilag 8: </w:t>
      </w:r>
      <w:r>
        <w:tab/>
      </w:r>
      <w:r>
        <w:t xml:space="preserve">[Beskrivelse]</w:t>
      </w:r>
    </w:p>
    <w:p>
      <w:pPr>
        <w:pStyle w:val="NoSpacing"/>
        <w:tabs>
          <w:tab w:val="left" w:pos="1134"/>
        </w:tabs>
      </w:pPr>
      <w:r>
        <w:t xml:space="preserve">Bilag 9: </w:t>
      </w:r>
      <w:r>
        <w:tab/>
      </w:r>
      <w:r>
        <w:t xml:space="preserve">[Beskrivelse]</w:t>
      </w:r>
    </w:p>
    <w:p>
      <w:pPr>
        <w:pStyle w:val="NoSpacing"/>
        <w:tabs>
          <w:tab w:val="left" w:pos="1134"/>
        </w:tabs>
      </w:pPr>
      <w:r>
        <w:t xml:space="preserve">Bilag 10: </w:t>
      </w:r>
      <w:r>
        <w:tab/>
      </w:r>
      <w:r>
        <w:t xml:space="preserve">[Beskrivelse]</w:t>
      </w:r>
    </w:p>
    <w:p>
      <w:pPr>
        <w:pStyle w:val="Normal"/>
      </w:pPr>
      <w:r>
        <w:t xml:space="preserve">Herudover vil der blive afgivet partsforklaring af </w:t>
      </w:r>
      <w:r>
        <w:t xml:space="preserve">[Medlem]</w:t>
      </w:r>
      <w:r>
        <w:t xml:space="preserve"> samt vidneforklaring af </w:t>
      </w:r>
      <w:r>
        <w:t xml:space="preserve">[Vidner]</w:t>
      </w:r>
      <w:r>
        <w:t xml:space="preserve">.</w:t>
      </w:r>
    </w:p>
    <w:p>
      <w:pPr>
        <w:pStyle w:val="Heading1"/>
      </w:pPr>
      <w:r>
        <w:t xml:space="preserve">Sagsgenstand og momsforhold</w:t>
      </w:r>
    </w:p>
    <w:p>
      <w:pPr>
        <w:pStyle w:val="Normal"/>
      </w:pPr>
      <w:r>
        <w:t xml:space="preserve">Sagsgenstanden udgør værdien af det foretagne fradrag på </w:t>
      </w:r>
      <w:r>
        <w:t xml:space="preserve">[Fradragsprocent]</w:t>
      </w:r>
      <w:r>
        <w:t xml:space="preserve"> % ud af et samlet erhvervsevnetab på </w:t>
      </w:r>
      <w:r>
        <w:t xml:space="preserve">[Samlet EET-procent]</w:t>
      </w:r>
      <w:r>
        <w:t xml:space="preserve"> %.</w:t>
      </w:r>
    </w:p>
    <w:sdt>
      <w:sdtPr>
        <w:alias w:val="Vælg"/>
        <w:tag w:val="valg"/>
        <w:showingPlcHdr/>
        <w:dropDownList>
          <w:listItem w:displayText="[Vælg...]" w:value="[Vælg...]"/>
          <w:listItem w:displayText="Da der er tale om et kapitaliseret engangsbeløb, udgør sagsgenstanden værdien af det foretagne fradrag." w:value="Da der er tale om et kapitaliseret engangsbeløb, udgør sagsgenstanden værdien af det foretagne fradrag."/>
          <w:listItem w:displayText="Da der er tale om en løbende ydelse, udgør sagsgenstanden en værdi svarende til 10 års løbende ydelse, jf. retsafgiftslovens § 3, stk. 2." w:value="Da der er tale om en løbende ydelse, udgør sagsgenstanden en værdi svarende til 10 års løbende ydelse, jf. retsafgiftslovens § 3, stk. 2."/>
        </w:dropDownList>
      </w:sdtPr>
      <w:sdtEndPr/>
      <w:sdtContent>
        <w:p>
          <w:pPr>
            <w:pStyle w:val="Normal"/>
            <w:rPr>
              <w:shd w:val="clear" w:color="auto" w:fill="FF00FF"/>
            </w:rPr>
          </w:pPr>
          <w:r>
            <w:rPr>
              <w:shd w:val="clear" w:color="auto" w:fill="FF00FF"/>
            </w:rPr>
            <w:t>[Vælg...]</w:t>
          </w:r>
        </w:p>
      </w:sdtContent>
    </w:sdt>
    <w:p>
      <w:pPr>
        <w:pStyle w:val="Normal"/>
      </w:pPr>
      <w:r>
        <w:t xml:space="preserve">På denne baggrund kan sagsgenstanden opgøres til </w:t>
      </w:r>
      <w:r>
        <w:t xml:space="preserve">[beregningsgrundlag]</w:t>
      </w:r>
      <w:r>
        <w:t xml:space="preserve"> = </w:t>
      </w:r>
      <w:r>
        <w:t xml:space="preserve">[Sagsgenstand]</w:t>
      </w:r>
      <w:r>
        <w:t xml:space="preserve"> kr.</w:t>
      </w:r>
    </w:p>
    <w:sdt>
      <w:sdtPr>
        <w:alias w:val="Vælg"/>
        <w:tag w:val="valg"/>
        <w:showingPlcHdr/>
        <w:dropDownList>
          <w:listItem w:displayText="[Vælg...]" w:value="[Vælg...]"/>
          <w:listItem w:displayText="Sagsøgers mandatar er ikke momsregistreret i dette retsforhold." w:value="Sagsøgers mandatar er ikke momsregistreret i dette retsforhold."/>
          <w:listItem w:displayText="Sagsøgers mandatar er ikke momsregistreret i dette retsforhold, men er repræsenteret af en internt ansat advokat, hvorfor tilkendte sagsomkostninger ikke skal tillægges moms." w:value="Sagsøgers mandatar er ikke momsregistreret i dette retsforhold, men er repræsenteret af en internt ansat advokat, hvorfor tilkendte sagsomkostninger ikke skal tillægges moms."/>
        </w:dropDownList>
      </w:sdtPr>
      <w:sdtEndPr/>
      <w:sdtContent>
        <w:p>
          <w:pPr>
            <w:pStyle w:val="Normal"/>
            <w:rPr>
              <w:shd w:val="clear" w:color="auto" w:fill="FF00FF"/>
            </w:rPr>
          </w:pPr>
          <w:r>
            <w:rPr>
              <w:shd w:val="clear" w:color="auto" w:fill="FF00FF"/>
            </w:rPr>
            <w:t>[Vælg...]</w:t>
          </w:r>
        </w:p>
      </w:sdtContent>
    </w:sdt>
    <w:p>
      <w:pPr>
        <w:pStyle w:val="Heading1"/>
      </w:pPr>
      <w:r>
        <w:t xml:space="preserve">Processuelle forhold</w:t>
      </w:r>
    </w:p>
    <w:p>
      <w:pPr>
        <w:pStyle w:val="Normal"/>
      </w:pPr>
      <w:r>
        <w:t xml:space="preserve">Retssagen vedrører prøvelse af en myndighedsafgørelse og anlægges derfor ved sagsøgers hjemting, jf. RPL § 240, stk. 2.</w:t>
      </w:r>
    </w:p>
    <w:p>
      <w:pPr>
        <w:pStyle w:val="Normal"/>
      </w:pPr>
      <w:r>
        <w:t xml:space="preserve">Sagen vedrører en tvist af lægefaglig karakter og begæres derfor forelagt Retslægerådet. Sagsøgers udkast til spørgetema vedlægges, og sagsøgtes eventuelle bemærkninger hertil samt supplerende spørgsmål imødeses.</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Fradrag i erhvervsevnetab</dc:title>
  <dc:subject>Arbejdsskade</dc:subject>
  <dc:creator>MinParadigmesamling.dk</dc:creator>
  <cp:lastModifiedBy>MinParadigmesamling.dk</cp:lastModifiedBy>
  <cp:revision>1</cp:revision>
  <dcterms:created xsi:type="dcterms:W3CDTF">2026-07-02T20:34:54.431Z</dcterms:created>
  <dcterms:modified xsi:type="dcterms:W3CDTF">2026-07-02T20:34:54.431Z</dcterms:modified>
</cp:coreProperties>
</file>

<file path=docProps/custom.xml><?xml version="1.0" encoding="utf-8"?>
<Properties xmlns="http://schemas.openxmlformats.org/officeDocument/2006/custom-properties" xmlns:vt="http://schemas.openxmlformats.org/officeDocument/2006/docPropsVTypes"/>
</file>