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bookmarkStart w:id="0" w:name="_GoBack"/>
      <w:bookmarkEnd w:id="0"/>
      <w:r>
        <w:t xml:space="preserve">Vejledning om kreditorbeskyttelse</w:t>
      </w:r>
    </w:p>
    <w:p>
      <w:pPr>
        <w:pStyle w:val="Normal"/>
      </w:pPr>
      <w:r>
        <w:t xml:space="preserve">Visse erstatningsbeløb kan kreditorbeskyttes, hvilket medfører, at dine kreditorer ikke kan kræve erstatningen udbetalt, og at den ikke skal deles i tilfælde af skilsmisse.</w:t>
      </w:r>
    </w:p>
    <w:p>
      <w:pPr>
        <w:pStyle w:val="Heading3"/>
      </w:pPr>
      <w:r>
        <w:t xml:space="preserve">Kan kreditorbeskyttes</w:t>
      </w:r>
    </w:p>
    <w:p>
      <w:pPr>
        <w:pStyle w:val="ListParagraph"/>
        <w:numPr>
          <w:ilvl w:val="0"/>
          <w:numId w:val="2"/>
        </w:numPr>
      </w:pPr>
      <w:r>
        <w:t xml:space="preserve">Godtgørelse for svie og smerte (kun ved varige mén på 5 % eller derover)</w:t>
      </w:r>
    </w:p>
    <w:p>
      <w:pPr>
        <w:pStyle w:val="ListParagraph"/>
        <w:numPr>
          <w:ilvl w:val="0"/>
          <w:numId w:val="2"/>
        </w:numPr>
      </w:pPr>
      <w:r>
        <w:t xml:space="preserve">Godtgørelse for varige mén</w:t>
      </w:r>
    </w:p>
    <w:p>
      <w:pPr>
        <w:pStyle w:val="ListParagraph"/>
        <w:numPr>
          <w:ilvl w:val="0"/>
          <w:numId w:val="2"/>
        </w:numPr>
      </w:pPr>
      <w:r>
        <w:t xml:space="preserve">Kapitaliseret erhvervsevnetabserstatning</w:t>
      </w:r>
    </w:p>
    <w:p>
      <w:pPr>
        <w:pStyle w:val="ListParagraph"/>
        <w:numPr>
          <w:ilvl w:val="0"/>
          <w:numId w:val="2"/>
        </w:numPr>
      </w:pPr>
      <w:r>
        <w:t xml:space="preserve">Overgangsbeløb ved dødsfald</w:t>
      </w:r>
    </w:p>
    <w:p>
      <w:pPr>
        <w:pStyle w:val="ListParagraph"/>
        <w:numPr>
          <w:ilvl w:val="0"/>
          <w:numId w:val="2"/>
        </w:numPr>
      </w:pPr>
      <w:r>
        <w:t xml:space="preserve">Forsørgertabserstatning (både løbende og kapitaliseret)</w:t>
      </w:r>
    </w:p>
    <w:p>
      <w:pPr>
        <w:pStyle w:val="ListParagraph"/>
        <w:numPr>
          <w:ilvl w:val="0"/>
          <w:numId w:val="2"/>
        </w:numPr>
      </w:pPr>
      <w:r>
        <w:t xml:space="preserve">Invalideforsikring fra pensionsselskab (både engangsbeløb og løbende ydelser)</w:t>
      </w:r>
    </w:p>
    <w:p>
      <w:pPr>
        <w:pStyle w:val="Heading3"/>
      </w:pPr>
      <w:r>
        <w:t xml:space="preserve">Kan ikke kreditorbeskyttes</w:t>
      </w:r>
    </w:p>
    <w:p>
      <w:pPr>
        <w:pStyle w:val="ListParagraph"/>
        <w:numPr>
          <w:ilvl w:val="0"/>
          <w:numId w:val="2"/>
        </w:numPr>
      </w:pPr>
      <w:r>
        <w:t xml:space="preserve">Godtgørelse for svie og smerte (hvis ikke varige mén på 5 % eller derover)</w:t>
      </w:r>
    </w:p>
    <w:p>
      <w:pPr>
        <w:pStyle w:val="ListParagraph"/>
        <w:numPr>
          <w:ilvl w:val="0"/>
          <w:numId w:val="2"/>
        </w:numPr>
      </w:pPr>
      <w:r>
        <w:t xml:space="preserve">Erstatning for tabt arbejdsfortjeneste</w:t>
      </w:r>
    </w:p>
    <w:p>
      <w:pPr>
        <w:pStyle w:val="ListParagraph"/>
        <w:numPr>
          <w:ilvl w:val="0"/>
          <w:numId w:val="2"/>
        </w:numPr>
      </w:pPr>
      <w:r>
        <w:t xml:space="preserve">Refundering af afholdte omkostninger</w:t>
      </w:r>
    </w:p>
    <w:p>
      <w:pPr>
        <w:pStyle w:val="ListParagraph"/>
        <w:numPr>
          <w:ilvl w:val="0"/>
          <w:numId w:val="2"/>
        </w:numPr>
      </w:pPr>
      <w:r>
        <w:t xml:space="preserve">Udbetaling fra løntabsforsikringer</w:t>
      </w:r>
    </w:p>
    <w:p>
      <w:pPr>
        <w:pStyle w:val="Heading3"/>
      </w:pPr>
      <w:r>
        <w:t xml:space="preserve">Uafklaret</w:t>
      </w:r>
    </w:p>
    <w:p>
      <w:pPr>
        <w:pStyle w:val="ListParagraph"/>
        <w:numPr>
          <w:ilvl w:val="0"/>
          <w:numId w:val="2"/>
        </w:numPr>
      </w:pPr>
      <w:r>
        <w:t xml:space="preserve">Løbende erhvervsevnetabserstatning (både midlertidig og endelig)</w:t>
      </w:r>
    </w:p>
    <w:p>
      <w:pPr>
        <w:pStyle w:val="ListParagraph"/>
        <w:numPr>
          <w:ilvl w:val="0"/>
          <w:numId w:val="2"/>
        </w:numPr>
      </w:pPr>
      <w:r>
        <w:t xml:space="preserve">Udbetaling fra ulykkesforsikring</w:t>
      </w:r>
    </w:p>
    <w:p>
      <w:pPr>
        <w:pStyle w:val="ListParagraph"/>
        <w:numPr>
          <w:ilvl w:val="0"/>
          <w:numId w:val="2"/>
        </w:numPr>
      </w:pPr>
      <w:r>
        <w:t xml:space="preserve">Udbetaling fra livsforsikring</w:t>
      </w:r>
    </w:p>
    <w:p>
      <w:pPr>
        <w:pStyle w:val="ListParagraph"/>
        <w:numPr>
          <w:ilvl w:val="0"/>
          <w:numId w:val="2"/>
        </w:numPr>
      </w:pPr>
      <w:r>
        <w:t xml:space="preserve">Udbetaling fra forsikring mod kritisk sygdom</w:t>
      </w:r>
    </w:p>
    <w:p>
      <w:pPr>
        <w:pStyle w:val="Heading2"/>
      </w:pPr>
      <w:r>
        <w:t xml:space="preserve">Formelle krav</w:t>
      </w:r>
    </w:p>
    <w:p>
      <w:pPr>
        <w:pStyle w:val="Normal"/>
      </w:pPr>
      <w:r>
        <w:t xml:space="preserve">For at opnå kreditorbeskyttelse skal erstatningsbeløb til enhver tid holdes klart adskilt fra anden formue og fra beløb, der ikke er kreditorbeskyttede.</w:t>
      </w:r>
    </w:p>
    <w:p>
      <w:pPr>
        <w:pStyle w:val="Normal"/>
      </w:pPr>
      <w:r>
        <w:t xml:space="preserve">Som udgangspunkt bortfalder kreditorbeskyttelsen i samme øjeblik, et erstatningsbeløb indsættes på en konto, hvor der også står ikke-beskyttede beløb.</w:t>
      </w:r>
    </w:p>
    <w:p>
      <w:pPr>
        <w:pStyle w:val="Normal"/>
      </w:pPr>
      <w:r>
        <w:t xml:space="preserve">I en kendelse af 4. marts 2013 i sag B-0280-13 har Vestre Landsret dog opretholdt kreditorbeskyttelsen i en situation, hvor erstatningsbeløbet blev indsat på en almindelig lønkonto og senere samme dag overført til en særskilt konto.</w:t>
      </w:r>
    </w:p>
    <w:p>
      <w:pPr>
        <w:pStyle w:val="Normal"/>
      </w:pPr>
      <w:r>
        <w:t xml:space="preserve">Denne kendelse bør formentlig fortolkes meget snævert. Hvis sammenblandingen står på over flere dage, må det formodes, at kreditorbeskyttelsen bortfalder.</w:t>
      </w:r>
    </w:p>
    <w:p>
      <w:pPr>
        <w:pStyle w:val="Normal"/>
      </w:pPr>
      <w:r>
        <w:t xml:space="preserve">Hvis kreditorbeskyttede beløb hæves kontant, vil beskyttelsen af de udbetalte beløb som hovedregel bortfalde straks.</w:t>
      </w:r>
    </w:p>
    <w:p>
      <w:pPr>
        <w:pStyle w:val="Normal"/>
      </w:pPr>
      <w:r>
        <w:t xml:space="preserve">Når arbejdsskademyndighederne tilkender erstatning for en arbejdsulykke, bliver beløbet udbetalt til NemKonto. Det er derfor vigtigt at give besked til forsikringsselskabet straks efter, at afgørelsen er truffet (og gerne inden), hvis beløbet i stedet skal udbetales til en kreditorbeskyttet konto.</w:t>
      </w:r>
    </w:p>
    <w:p>
      <w:pPr>
        <w:pStyle w:val="Normal"/>
      </w:pPr>
      <w:r>
        <w:t xml:space="preserve">I erhvervssygdomssager skal AES have besked om, at betalingen skal ske til en kreditorbeskyttet konto. Dette gøres via hjemmesiden: www.borger.dk/aes-udbetaling.</w:t>
      </w:r>
    </w:p>
    <w:p>
      <w:pPr>
        <w:pStyle w:val="Heading2"/>
      </w:pPr>
      <w:r>
        <w:t xml:space="preserve">Kreditorbeskyttet konto</w:t>
      </w:r>
    </w:p>
    <w:p>
      <w:pPr>
        <w:pStyle w:val="Normal"/>
      </w:pPr>
      <w:r>
        <w:t xml:space="preserve">Enhver konto kan være kreditorbeskyttet, så længe der ikke sker sammenblanding mellem kreditorbeskyttede og ikke-beskyttede beløb på kontoen.</w:t>
      </w:r>
    </w:p>
    <w:p>
      <w:pPr>
        <w:pStyle w:val="Normal"/>
      </w:pPr>
      <w:r>
        <w:t xml:space="preserve">Kreditorbeskyttede beløb kan enten indsættes på en nyoprettet konto eller på en eksisterende konto, så længe denne forinden er bragt i nul eller kun indeholder kreditorbeskyttede beløb.</w:t>
      </w:r>
    </w:p>
    <w:p>
      <w:pPr>
        <w:pStyle w:val="Normal"/>
      </w:pPr>
      <w:r>
        <w:t xml:space="preserve">Nogle banker rådgiver om, at der skal oprettes en særlig type konto til kreditorbeskyttede beløb, ofte mod betaling af gebyr. Dette er ikke korrekt.</w:t>
      </w:r>
    </w:p>
    <w:p>
      <w:pPr>
        <w:pStyle w:val="Normal"/>
      </w:pPr>
      <w:r>
        <w:t xml:space="preserve">For at undgå, at banken uberettiget benytter et kreditorbeskyttet beløb til at modregne overtræk på andre konti, kan det dog være hensigtsmæssigt at navngive kontoen "kreditorbeskyttet" eller på anden måde få banken til at notere, at den indeholder kreditorbeskyttede midler.</w:t>
      </w:r>
    </w:p>
    <w:p>
      <w:pPr>
        <w:pStyle w:val="Heading2"/>
      </w:pPr>
      <w:r>
        <w:t xml:space="preserve">Renter</w:t>
      </w:r>
    </w:p>
    <w:p>
      <w:pPr>
        <w:pStyle w:val="Normal"/>
      </w:pPr>
      <w:r>
        <w:t xml:space="preserve">Kreditorbeskyttelsen omfatter også renter, som bliver tilskrevet beskyttede beløb.</w:t>
      </w:r>
    </w:p>
    <w:p>
      <w:pPr>
        <w:pStyle w:val="Heading2"/>
      </w:pPr>
      <w:r>
        <w:t xml:space="preserve">Surrogater</w:t>
      </w:r>
    </w:p>
    <w:p>
      <w:pPr>
        <w:pStyle w:val="Normal"/>
      </w:pPr>
      <w:r>
        <w:t xml:space="preserve">Hvis der købes aktiver for kreditorbeskyttede beløb, fx hus, bil eller andre værdigenstande, omfatter kreditorbeskyttelsen også disse.</w:t>
      </w:r>
    </w:p>
    <w:p>
      <w:pPr>
        <w:pStyle w:val="Normal"/>
      </w:pPr>
      <w:r>
        <w:t xml:space="preserve">For at opretholde kreditorbeskyttelsen er det dog et krav, at man kan dokumentere:</w:t>
      </w:r>
    </w:p>
    <w:p>
      <w:pPr>
        <w:pStyle w:val="ListParagraph"/>
        <w:numPr>
          <w:ilvl w:val="0"/>
          <w:numId w:val="2"/>
        </w:numPr>
      </w:pPr>
      <w:r>
        <w:t xml:space="preserve">At aktiverne er købt for kreditorbeskyttede midler, og</w:t>
      </w:r>
    </w:p>
    <w:p>
      <w:pPr>
        <w:pStyle w:val="ListParagraph"/>
        <w:numPr>
          <w:ilvl w:val="0"/>
          <w:numId w:val="2"/>
        </w:numPr>
      </w:pPr>
      <w:r>
        <w:t xml:space="preserve">At der ikke efterfølgende er sket sammenblanding med ikke-beskyttede midler.</w:t>
      </w:r>
    </w:p>
    <w:p>
      <w:pPr>
        <w:pStyle w:val="Normal"/>
      </w:pPr>
      <w:r>
        <w:t xml:space="preserve">For at undgå sammenblanding skal ombygning og større vedligeholdelsesprojekter også ske for kreditorbeskyttede midler, hvilket ligeledes skal kunne dokumenteres. Betalinger bør derfor ske direkte fra den kreditorbeskyttede konto og på en sådan måde, at pengesporet kan følges og dokumenteres.</w:t>
      </w:r>
    </w:p>
    <w:p>
      <w:pPr>
        <w:pStyle w:val="Normal"/>
      </w:pPr>
      <w:r>
        <w:t xml:space="preserve">Fast ejendom, der købes for kreditorbeskyttede midler, kan restfinansieres ved optagelse af realkreditlån, forudsat at lånet optages samtidig med købet. Hvis ejendommen senere belånes eller stilles til sikkerhed for gæld, bortfalder kreditorbeskyttelsen.</w:t>
      </w:r>
    </w:p>
    <w:p>
      <w:pPr>
        <w:pStyle w:val="Normal"/>
      </w:pPr>
      <w:r>
        <w:t xml:space="preserve">Hvis et aktiv, der er købt for kreditorbeskyttede midler, stiger i værdi eller genererer afkast, er fortjenesten også kreditorbeskyttet. Det samme gælder, hvis aktivet er købt med et investeringsformål, fx ved køb af aktier og obligationer.</w:t>
      </w:r>
    </w:p>
    <w:p>
      <w:pPr>
        <w:pStyle w:val="Heading2"/>
      </w:pPr>
      <w:r>
        <w:t xml:space="preserve">Tinglysning</w:t>
      </w:r>
    </w:p>
    <w:p>
      <w:pPr>
        <w:pStyle w:val="Normal"/>
      </w:pPr>
      <w:r>
        <w:t xml:space="preserve">Ved boligkøb har der været tradition for at få tinglyst en servitut om, at boligen er købt for kreditorbeskyttede midler.</w:t>
      </w:r>
    </w:p>
    <w:p>
      <w:pPr>
        <w:pStyle w:val="Normal"/>
      </w:pPr>
      <w:r>
        <w:t xml:space="preserve">Det er ikke et krav og giver heller ikke en selvstændig beskyttelse. Servitutten er udelukkende en bekræftelse fra Tinglysningsretten på, at ejendommen var kreditorbeskyttet på det tidspunkt, hvor servitutten blev tinglyst.</w:t>
      </w:r>
    </w:p>
    <w:p>
      <w:pPr>
        <w:pStyle w:val="Normal"/>
      </w:pPr>
      <w:r>
        <w:t xml:space="preserve">Beskyttelsen kan dog være bortfaldet efterfølgende, så selv hvis der tinglyses en servitut, er det vigtigt fortsat at overholde kravene til dokumentation og adskillelse fra ikke-beskyttede midler.</w:t>
      </w:r>
    </w:p>
    <w:sectPr>
      <w:footerReference w:type="default" r:id="rId6"/>
      <w:footerReference w:type="first" r:id="rId7"/>
      <w:pgSz w:w="11906" w:h="16838" w:orient="portrait"/>
      <w:pgMar w:top="1701" w:right="1418" w:bottom="1701" w:left="1418" w:header="567"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rPr>
        <w:sz w:val="18"/>
        <w:szCs w:val="18"/>
        <w:rFonts w:ascii="Tahoma" w:cs="Tahoma" w:eastAsia="Tahoma" w:hAnsi="Tahoma"/>
      </w:rPr>
      <w:t xml:space="preserve">Side </w:t>
    </w:r>
    <w:fldSimple w:instr="PAGE"/>
    <w:r>
      <w:rPr>
        <w:sz w:val="18"/>
        <w:szCs w:val="18"/>
        <w:rFonts w:ascii="Tahoma" w:cs="Tahoma" w:eastAsia="Tahoma" w:hAnsi="Tahoma"/>
      </w:rPr>
      <w:t xml:space="preserve"> af </w:t>
    </w:r>
    <w:fldSimple w:instr="NUMPAGE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280" w:lineRule="atLeast"/>
      <w:jc w:val="right"/>
    </w:pPr>
    <w:r>
      <w:fldChar w:fldCharType="begin"/>
    </w:r>
    <w:r>
      <w:instrText xml:space="preserve"> IF </w:instrText>
    </w:r>
    <w:r>
      <w:fldChar w:fldCharType="begin"/>
    </w:r>
    <w:r>
      <w:instrText xml:space="preserve"> NUMPAGES </w:instrText>
    </w:r>
    <w:r>
      <w:fldChar w:fldCharType="separate"/>
    </w:r>
    <w:r>
      <w:t>1</w:t>
    </w:r>
    <w:r>
      <w:fldChar w:fldCharType="end"/>
    </w:r>
    <w:r>
      <w:instrText xml:space="preserve"> &gt; 1 "Side </w:instrText>
    </w:r>
    <w:r>
      <w:fldChar w:fldCharType="begin"/>
    </w:r>
    <w:r>
      <w:instrText xml:space="preserve"> PAGE </w:instrText>
    </w:r>
    <w:r>
      <w:fldChar w:fldCharType="separate"/>
    </w:r>
    <w:r>
      <w:t>1</w:t>
    </w:r>
    <w:r>
      <w:fldChar w:fldCharType="end"/>
    </w:r>
    <w:r>
      <w:instrText xml:space="preserve"> af </w:instrText>
    </w:r>
    <w:r>
      <w:fldChar w:fldCharType="begin"/>
    </w:r>
    <w:r>
      <w:instrText xml:space="preserve"> NUMPAGES </w:instrText>
    </w:r>
    <w:r>
      <w:fldChar w:fldCharType="separate"/>
    </w:r>
    <w:r>
      <w:t>1</w:t>
    </w:r>
    <w:r>
      <w:fldChar w:fldCharType="end"/>
    </w:r>
    <w:r>
      <w:instrText xml:space="preserve"> " ""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09" w:hanging="425"/>
      </w:pPr>
    </w:lvl>
  </w:abstractNum>
  <w:abstractNum w:abstractNumId="3" w15:restartNumberingAfterBreak="0">
    <w:multiLevelType w:val="hybridMultilevel"/>
    <w:lvl w:ilvl="0" w15:tentative="1">
      <w:start w:val="1"/>
      <w:numFmt w:val="decimal"/>
      <w:lvlText w:val="%1."/>
      <w:lvlJc w:val="left"/>
      <w:pPr>
        <w:ind w:left="709" w:hanging="425"/>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zoom w:percent="100"/>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000000"/>
        <w:sz w:val="20"/>
        <w:szCs w:val="20"/>
        <w:rFonts w:ascii="Tahoma" w:cs="Tahoma" w:eastAsia="Tahoma" w:hAnsi="Tahoma"/>
      </w:rPr>
    </w:rPrDefault>
    <w:pPrDefault>
      <w:pPr>
        <w:spacing w:before="240" w:after="240" w:line="280" w:lineRule="atLeast"/>
      </w:pPr>
    </w:pPrDefault>
  </w:docDefaults>
  <w:latentStyles w:defLockedState="0" w:defUIPriority="99" w:defSemiHidden="1" w:defUnhideWhenUsed="0" w:defQFormat="0" w:count="376">
    <w:lsdException w:name="Normal" w:uiPriority="1" w:semiHidden="0" w:unhideWhenUsed="0" w:qFormat="1"/>
    <w:lsdException w:name="No Spacing" w:uiPriority="2" w:semiHidden="0" w:unhideWhenUsed="0" w:qFormat="1"/>
    <w:lsdException w:name="Title" w:uiPriority="3" w:semiHidden="0" w:unhideWhenUsed="0" w:qFormat="1"/>
    <w:lsdException w:name="heading 1" w:uiPriority="4" w:semiHidden="0" w:unhideWhenUsed="0" w:qFormat="1"/>
    <w:lsdException w:name="heading 2" w:uiPriority="5" w:semiHidden="0" w:unhideWhenUsed="0" w:qFormat="1"/>
    <w:lsdException w:name="heading 3" w:uiPriority="6" w:semiHidden="0" w:unhideWhenUsed="0" w:qFormat="1"/>
    <w:lsdException w:name="Quote" w:uiPriority="7" w:semiHidden="0" w:unhideWhenUsed="0" w:qFormat="1"/>
    <w:lsdException w:name="List Paragraph" w:uiPriority="8" w:semiHidden="0" w:unhideWhenUsed="0" w:qFormat="1"/>
  </w:latentStyles>
  <w:style w:type="paragraph" w:styleId="Normal">
    <w:name w:val="Normal"/>
    <w:next w:val="Normal"/>
    <w:qFormat/>
    <w:pPr>
      <w:spacing w:before="240" w:after="240" w:line="280" w:lineRule="atLeast"/>
    </w:pPr>
    <w:rPr>
      <w:sz w:val="20"/>
      <w:szCs w:val="20"/>
      <w:rFonts w:ascii="Tahoma" w:cs="Tahoma" w:eastAsia="Tahoma" w:hAnsi="Tahoma"/>
    </w:rPr>
    <w:uiPriority w:val="1"/>
  </w:style>
  <w:style w:type="paragraph" w:styleId="NoSpacing">
    <w:name w:val="Ingen afstand"/>
    <w:basedOn w:val="Normal"/>
    <w:next w:val="NoSpacing"/>
    <w:qFormat/>
    <w:pPr>
      <w:spacing w:before="0" w:after="0" w:line="280" w:lineRule="atLeast"/>
    </w:pPr>
    <w:rPr>
      <w:sz w:val="20"/>
      <w:szCs w:val="20"/>
      <w:rFonts w:ascii="Tahoma" w:cs="Tahoma" w:eastAsia="Tahoma" w:hAnsi="Tahoma"/>
    </w:rPr>
    <w:uiPriority w:val="2"/>
  </w:style>
  <w:style w:type="paragraph" w:styleId="Title">
    <w:name w:val="Titel"/>
    <w:basedOn w:val="Normal"/>
    <w:next w:val="Normal"/>
    <w:qFormat/>
    <w:pPr>
      <w:keepNext/>
      <w:spacing w:before="720" w:after="480" w:line="280" w:lineRule="atLeast"/>
    </w:pPr>
    <w:rPr>
      <w:b/>
      <w:bCs/>
      <w:color w:val="000000"/>
      <w:sz w:val="26"/>
      <w:szCs w:val="26"/>
      <w:rFonts w:ascii="Tahoma" w:cs="Tahoma" w:eastAsia="Tahoma" w:hAnsi="Tahoma"/>
    </w:rPr>
    <w:uiPriority w:val="3"/>
  </w:style>
  <w:style w:type="paragraph" w:styleId="Heading1">
    <w:name w:val="Overskrift 1"/>
    <w:basedOn w:val="Normal"/>
    <w:next w:val="Normal"/>
    <w:qFormat/>
    <w:pPr>
      <w:keepNext/>
      <w:spacing w:before="480" w:after="240" w:line="280" w:lineRule="atLeast"/>
    </w:pPr>
    <w:rPr>
      <w:b/>
      <w:bCs/>
      <w:color w:val="000000"/>
      <w:sz w:val="20"/>
      <w:szCs w:val="20"/>
      <w:caps/>
      <w:rFonts w:ascii="Tahoma" w:cs="Tahoma" w:eastAsia="Tahoma" w:hAnsi="Tahoma"/>
      <w:spacing w:val="10"/>
    </w:rPr>
    <w:uiPriority w:val="4"/>
  </w:style>
  <w:style w:type="paragraph" w:styleId="Heading2">
    <w:name w:val="Overskrift 2"/>
    <w:basedOn w:val="Normal"/>
    <w:next w:val="Normal"/>
    <w:qFormat/>
    <w:pPr>
      <w:keepNext/>
      <w:spacing w:before="360" w:after="240" w:line="280" w:lineRule="atLeast"/>
    </w:pPr>
    <w:rPr>
      <w:b/>
      <w:bCs/>
      <w:color w:val="000000"/>
      <w:sz w:val="20"/>
      <w:szCs w:val="20"/>
      <w:rFonts w:ascii="Tahoma" w:cs="Tahoma" w:eastAsia="Tahoma" w:hAnsi="Tahoma"/>
    </w:rPr>
    <w:uiPriority w:val="5"/>
  </w:style>
  <w:style w:type="paragraph" w:styleId="Heading3">
    <w:name w:val="Overskrift 3"/>
    <w:basedOn w:val="Normal"/>
    <w:next w:val="Normal"/>
    <w:qFormat/>
    <w:pPr>
      <w:keepNext/>
      <w:spacing w:before="360" w:after="120" w:line="280" w:lineRule="atLeast"/>
    </w:pPr>
    <w:rPr>
      <w:b w:val="false"/>
      <w:bCs w:val="false"/>
      <w:u w:val="single"/>
      <w:color w:val="000000"/>
      <w:sz w:val="20"/>
      <w:szCs w:val="20"/>
      <w:rFonts w:ascii="Tahoma" w:cs="Tahoma" w:eastAsia="Tahoma" w:hAnsi="Tahoma"/>
    </w:rPr>
    <w:uiPriority w:val="6"/>
  </w:style>
  <w:style w:type="paragraph" w:styleId="Quote">
    <w:name w:val="Citat"/>
    <w:basedOn w:val="Normal"/>
    <w:next w:val="Normal"/>
    <w:qFormat/>
    <w:pPr>
      <w:spacing w:before="240" w:after="240" w:line="280" w:lineRule="atLeast"/>
      <w:ind w:left="567" w:right="851"/>
    </w:pPr>
    <w:rPr>
      <w:i/>
      <w:iCs/>
      <w:sz w:val="19"/>
      <w:szCs w:val="19"/>
      <w:rFonts w:ascii="Tahoma" w:cs="Tahoma" w:eastAsia="Tahoma" w:hAnsi="Tahoma"/>
    </w:rPr>
    <w:uiPriority w:val="7"/>
  </w:style>
  <w:style w:type="paragraph" w:styleId="ListParagraph">
    <w:name w:val="Listeafsnit"/>
    <w:basedOn w:val="Normal"/>
    <w:qFormat/>
    <w:pPr>
      <w:spacing w:before="120" w:after="120" w:line="280" w:lineRule="atLeast"/>
      <w:ind w:left="709" w:hanging="425"/>
    </w:pPr>
    <w:rPr>
      <w:sz w:val="20"/>
      <w:szCs w:val="20"/>
      <w:rFonts w:ascii="Tahoma" w:cs="Tahoma" w:eastAsia="Tahoma" w:hAnsi="Tahoma"/>
    </w:rPr>
    <w:uiPriority w:val="8"/>
  </w:style>
  <w:style w:type="paragraph" w:styleId="Beregning">
    <w:name w:val="Beregning"/>
    <w:basedOn w:val="Normal"/>
    <w:next w:val="Beregning"/>
    <w:qFormat/>
    <w:pPr>
      <w:tabs>
        <w:tab w:val="right" w:pos="8222"/>
      </w:tabs>
      <w:spacing w:before="120" w:after="120" w:line="280" w:lineRule="atLeast"/>
      <w:ind w:left="567" w:right="851"/>
    </w:pPr>
    <w:rPr>
      <w:sz w:val="20"/>
      <w:szCs w:val="20"/>
      <w:rFonts w:ascii="Tahoma" w:cs="Tahoma" w:eastAsia="Tahoma" w:hAnsi="Tahoma"/>
    </w:rPr>
    <w:uiPriority w:val="9"/>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om kreditorbeskyttelse</dc:title>
  <dc:subject>Arbejdsskade</dc:subject>
  <dc:creator>MinParadigmesamling.dk</dc:creator>
  <cp:lastModifiedBy>MinParadigmesamling.dk</cp:lastModifiedBy>
  <cp:revision>1</cp:revision>
  <dcterms:created xsi:type="dcterms:W3CDTF">2026-07-02T20:34:54.699Z</dcterms:created>
  <dcterms:modified xsi:type="dcterms:W3CDTF">2026-07-02T20:34:54.699Z</dcterms:modified>
</cp:coreProperties>
</file>

<file path=docProps/custom.xml><?xml version="1.0" encoding="utf-8"?>
<Properties xmlns="http://schemas.openxmlformats.org/officeDocument/2006/custom-properties" xmlns:vt="http://schemas.openxmlformats.org/officeDocument/2006/docPropsVTypes"/>
</file>